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9D" w:rsidRPr="00DA4925" w:rsidRDefault="00D1431A" w:rsidP="00D1431A">
      <w:pPr>
        <w:widowControl w:val="0"/>
        <w:spacing w:after="0" w:line="240" w:lineRule="auto"/>
        <w:rPr>
          <w:rFonts w:ascii="Arial" w:hAnsi="Arial" w:cs="Arial"/>
          <w:b/>
          <w:bCs/>
          <w:noProof/>
          <w:lang w:val="en-GB" w:eastAsia="en-GB"/>
        </w:rPr>
      </w:pPr>
      <w:bookmarkStart w:id="0" w:name="_GoBack"/>
      <w:bookmarkEnd w:id="0"/>
      <w:r w:rsidRPr="00DA4925">
        <w:rPr>
          <w:rFonts w:ascii="Arial" w:hAnsi="Arial" w:cs="Arial"/>
          <w:b/>
          <w:bCs/>
          <w:noProof/>
          <w:lang w:val="en-GB" w:eastAsia="en-GB"/>
        </w:rPr>
        <w:drawing>
          <wp:inline distT="0" distB="0" distL="0" distR="0" wp14:anchorId="6B6F682A" wp14:editId="2BFC0453">
            <wp:extent cx="5867400" cy="8298602"/>
            <wp:effectExtent l="0" t="0" r="0" b="7620"/>
            <wp:docPr id="2" name="Picture 2" descr="Q:\2. 2016 POLICY, PLANNING &amp; PERFORMANCE\Strategic Planning\2017-18 Strategic Planning\2017-18 Delivery Plans\Front Covers\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 2016 POLICY, PLANNING &amp; PERFORMANCE\Strategic Planning\2017-18 Strategic Planning\2017-18 Delivery Plans\Front Covers\environ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8298602"/>
                    </a:xfrm>
                    <a:prstGeom prst="rect">
                      <a:avLst/>
                    </a:prstGeom>
                    <a:noFill/>
                    <a:ln>
                      <a:noFill/>
                    </a:ln>
                  </pic:spPr>
                </pic:pic>
              </a:graphicData>
            </a:graphic>
          </wp:inline>
        </w:drawing>
      </w:r>
    </w:p>
    <w:p w:rsidR="00D1431A" w:rsidRPr="00DA4925" w:rsidRDefault="00385EBB" w:rsidP="00D1431A">
      <w:pPr>
        <w:spacing w:after="0" w:line="240" w:lineRule="auto"/>
        <w:rPr>
          <w:rFonts w:ascii="Arial" w:hAnsi="Arial" w:cs="Arial"/>
          <w:b/>
          <w:bCs/>
          <w:sz w:val="28"/>
          <w:szCs w:val="28"/>
          <w:lang w:val="en-GB"/>
        </w:rPr>
      </w:pPr>
      <w:bookmarkStart w:id="1" w:name="_Toc440362716"/>
      <w:bookmarkStart w:id="2" w:name="_Toc450646319"/>
      <w:r w:rsidRPr="00DA4925">
        <w:rPr>
          <w:rFonts w:ascii="Arial" w:hAnsi="Arial" w:cs="Arial"/>
          <w:b/>
          <w:bCs/>
          <w:sz w:val="28"/>
          <w:szCs w:val="28"/>
          <w:lang w:val="en-GB"/>
        </w:rPr>
        <w:lastRenderedPageBreak/>
        <w:t>Contents</w:t>
      </w:r>
    </w:p>
    <w:p w:rsidR="00D1431A" w:rsidRPr="00DA4925" w:rsidRDefault="00D1431A" w:rsidP="006112E1">
      <w:pPr>
        <w:pStyle w:val="TOC1"/>
        <w:rPr>
          <w:color w:val="auto"/>
          <w:highlight w:val="yellow"/>
        </w:rPr>
      </w:pPr>
    </w:p>
    <w:p w:rsidR="00D1431A" w:rsidRPr="00DA4925" w:rsidRDefault="00D1431A" w:rsidP="006112E1">
      <w:pPr>
        <w:pStyle w:val="TOC1"/>
        <w:rPr>
          <w:color w:val="auto"/>
          <w:lang w:eastAsia="en-GB"/>
        </w:rPr>
      </w:pPr>
      <w:r w:rsidRPr="00DA4925">
        <w:rPr>
          <w:color w:val="auto"/>
          <w:highlight w:val="yellow"/>
        </w:rPr>
        <w:fldChar w:fldCharType="begin"/>
      </w:r>
      <w:r w:rsidRPr="00DA4925">
        <w:rPr>
          <w:color w:val="auto"/>
          <w:highlight w:val="yellow"/>
        </w:rPr>
        <w:instrText xml:space="preserve"> TOC \o "1-3" \h \z \u </w:instrText>
      </w:r>
      <w:r w:rsidRPr="00DA4925">
        <w:rPr>
          <w:color w:val="auto"/>
          <w:highlight w:val="yellow"/>
        </w:rPr>
        <w:fldChar w:fldCharType="separate"/>
      </w:r>
      <w:hyperlink w:anchor="_Toc445450805" w:history="1">
        <w:r w:rsidRPr="00DA4925">
          <w:rPr>
            <w:rStyle w:val="Hyperlink"/>
            <w:color w:val="auto"/>
            <w:u w:val="none"/>
          </w:rPr>
          <w:t>1</w:t>
        </w:r>
        <w:r w:rsidRPr="00DA4925">
          <w:rPr>
            <w:color w:val="auto"/>
            <w:lang w:eastAsia="en-GB"/>
          </w:rPr>
          <w:tab/>
        </w:r>
        <w:r w:rsidRPr="00DA4925">
          <w:rPr>
            <w:rStyle w:val="Hyperlink"/>
            <w:color w:val="auto"/>
            <w:u w:val="none"/>
          </w:rPr>
          <w:t>Overview and Profile</w:t>
        </w:r>
      </w:hyperlink>
      <w:r w:rsidR="00CC7802">
        <w:rPr>
          <w:rStyle w:val="Hyperlink"/>
          <w:color w:val="auto"/>
          <w:u w:val="none"/>
        </w:rPr>
        <w:tab/>
      </w:r>
      <w:r w:rsidR="006C6770" w:rsidRPr="00DA4925">
        <w:rPr>
          <w:rStyle w:val="Hyperlink"/>
          <w:color w:val="auto"/>
          <w:u w:val="none"/>
        </w:rPr>
        <w:t>3</w:t>
      </w:r>
    </w:p>
    <w:p w:rsidR="00D1431A" w:rsidRPr="00DA4925" w:rsidRDefault="00E31E0B" w:rsidP="006112E1">
      <w:pPr>
        <w:pStyle w:val="TOC1"/>
        <w:rPr>
          <w:color w:val="auto"/>
          <w:lang w:eastAsia="en-GB"/>
        </w:rPr>
      </w:pPr>
      <w:hyperlink w:anchor="_Toc445450806" w:history="1">
        <w:r w:rsidR="00D1431A" w:rsidRPr="00DA4925">
          <w:rPr>
            <w:rStyle w:val="Hyperlink"/>
            <w:color w:val="auto"/>
            <w:u w:val="none"/>
          </w:rPr>
          <w:t>2</w:t>
        </w:r>
        <w:r w:rsidR="00D1431A" w:rsidRPr="00DA4925">
          <w:rPr>
            <w:color w:val="auto"/>
            <w:lang w:eastAsia="en-GB"/>
          </w:rPr>
          <w:tab/>
        </w:r>
        <w:r w:rsidR="006112E1" w:rsidRPr="00DA4925">
          <w:rPr>
            <w:color w:val="auto"/>
            <w:lang w:eastAsia="en-GB"/>
          </w:rPr>
          <w:t xml:space="preserve">Performance Review and </w:t>
        </w:r>
        <w:r w:rsidR="00D1431A" w:rsidRPr="00DA4925">
          <w:rPr>
            <w:rStyle w:val="Hyperlink"/>
            <w:color w:val="auto"/>
            <w:u w:val="none"/>
          </w:rPr>
          <w:t>Strategic Assessment</w:t>
        </w:r>
      </w:hyperlink>
      <w:r w:rsidR="006C6770" w:rsidRPr="00DA4925">
        <w:rPr>
          <w:rStyle w:val="Hyperlink"/>
          <w:color w:val="auto"/>
          <w:u w:val="none"/>
        </w:rPr>
        <w:tab/>
        <w:t>5</w:t>
      </w:r>
    </w:p>
    <w:p w:rsidR="00D1431A" w:rsidRPr="00DA4925" w:rsidRDefault="00E31E0B" w:rsidP="006112E1">
      <w:pPr>
        <w:pStyle w:val="TOC1"/>
        <w:rPr>
          <w:color w:val="auto"/>
          <w:lang w:eastAsia="en-GB"/>
        </w:rPr>
      </w:pPr>
      <w:hyperlink w:anchor="_Toc445450807" w:history="1">
        <w:r w:rsidR="00D1431A" w:rsidRPr="00DA4925">
          <w:rPr>
            <w:rStyle w:val="Hyperlink"/>
            <w:color w:val="auto"/>
            <w:u w:val="none"/>
          </w:rPr>
          <w:t>3</w:t>
        </w:r>
        <w:r w:rsidR="00D1431A" w:rsidRPr="00DA4925">
          <w:rPr>
            <w:color w:val="auto"/>
            <w:lang w:eastAsia="en-GB"/>
          </w:rPr>
          <w:tab/>
        </w:r>
        <w:r w:rsidR="00D1431A" w:rsidRPr="00DA4925">
          <w:rPr>
            <w:rStyle w:val="Hyperlink"/>
            <w:color w:val="auto"/>
            <w:u w:val="none"/>
          </w:rPr>
          <w:t>Resources</w:t>
        </w:r>
      </w:hyperlink>
      <w:r w:rsidR="006C6770" w:rsidRPr="00DA4925">
        <w:rPr>
          <w:rStyle w:val="Hyperlink"/>
          <w:color w:val="auto"/>
          <w:u w:val="none"/>
        </w:rPr>
        <w:tab/>
        <w:t>12</w:t>
      </w:r>
    </w:p>
    <w:p w:rsidR="005B1CF3" w:rsidRPr="00DA4925" w:rsidRDefault="00E31E0B" w:rsidP="006112E1">
      <w:pPr>
        <w:pStyle w:val="TOC1"/>
        <w:rPr>
          <w:rStyle w:val="Hyperlink"/>
          <w:color w:val="auto"/>
          <w:u w:val="none"/>
        </w:rPr>
      </w:pPr>
      <w:hyperlink w:anchor="_Toc445450808" w:history="1">
        <w:r w:rsidR="00D1431A" w:rsidRPr="00DA4925">
          <w:rPr>
            <w:rStyle w:val="Hyperlink"/>
            <w:color w:val="auto"/>
            <w:u w:val="none"/>
          </w:rPr>
          <w:t>4</w:t>
        </w:r>
        <w:r w:rsidR="00D1431A" w:rsidRPr="00DA4925">
          <w:rPr>
            <w:color w:val="auto"/>
            <w:lang w:eastAsia="en-GB"/>
          </w:rPr>
          <w:tab/>
        </w:r>
        <w:r w:rsidR="00D1431A" w:rsidRPr="00DA4925">
          <w:rPr>
            <w:rStyle w:val="Hyperlink"/>
            <w:color w:val="auto"/>
            <w:u w:val="none"/>
          </w:rPr>
          <w:t>Risks</w:t>
        </w:r>
      </w:hyperlink>
      <w:r w:rsidR="006C6770" w:rsidRPr="00DA4925">
        <w:rPr>
          <w:rStyle w:val="Hyperlink"/>
          <w:color w:val="auto"/>
          <w:u w:val="none"/>
        </w:rPr>
        <w:tab/>
        <w:t>14</w:t>
      </w:r>
    </w:p>
    <w:p w:rsidR="005B1CF3" w:rsidRPr="00DA4925" w:rsidRDefault="005B1CF3" w:rsidP="006112E1">
      <w:pPr>
        <w:pStyle w:val="TOC1"/>
        <w:rPr>
          <w:rStyle w:val="Hyperlink"/>
          <w:color w:val="auto"/>
          <w:u w:val="none"/>
        </w:rPr>
      </w:pPr>
    </w:p>
    <w:p w:rsidR="00D1431A" w:rsidRPr="00DA4925" w:rsidRDefault="00E31E0B" w:rsidP="006112E1">
      <w:pPr>
        <w:pStyle w:val="TOC1"/>
        <w:rPr>
          <w:color w:val="auto"/>
          <w:lang w:eastAsia="en-GB"/>
        </w:rPr>
      </w:pPr>
      <w:hyperlink w:anchor="_Toc445450809" w:history="1">
        <w:r w:rsidR="00D1431A" w:rsidRPr="00DA4925">
          <w:rPr>
            <w:rStyle w:val="Hyperlink"/>
            <w:color w:val="auto"/>
            <w:u w:val="none"/>
          </w:rPr>
          <w:t xml:space="preserve">Appendix 1: </w:t>
        </w:r>
        <w:r w:rsidR="00705896" w:rsidRPr="00DA4925">
          <w:rPr>
            <w:rStyle w:val="Hyperlink"/>
            <w:color w:val="auto"/>
            <w:u w:val="none"/>
          </w:rPr>
          <w:t>S</w:t>
        </w:r>
        <w:r w:rsidR="00D1431A" w:rsidRPr="00DA4925">
          <w:rPr>
            <w:rStyle w:val="Hyperlink"/>
            <w:color w:val="auto"/>
            <w:u w:val="none"/>
          </w:rPr>
          <w:t>tructure Chart</w:t>
        </w:r>
      </w:hyperlink>
      <w:r w:rsidR="006C6770" w:rsidRPr="00DA4925">
        <w:rPr>
          <w:rStyle w:val="Hyperlink"/>
          <w:color w:val="auto"/>
          <w:u w:val="none"/>
        </w:rPr>
        <w:tab/>
        <w:t>15</w:t>
      </w:r>
    </w:p>
    <w:p w:rsidR="006112E1" w:rsidRPr="00DA4925" w:rsidRDefault="00E31E0B" w:rsidP="006112E1">
      <w:pPr>
        <w:pStyle w:val="TOC1"/>
        <w:rPr>
          <w:rStyle w:val="Hyperlink"/>
          <w:color w:val="auto"/>
          <w:u w:val="none"/>
        </w:rPr>
      </w:pPr>
      <w:hyperlink w:anchor="_Toc445450810" w:history="1">
        <w:r w:rsidR="00D1431A" w:rsidRPr="00DA4925">
          <w:rPr>
            <w:rStyle w:val="Hyperlink"/>
            <w:color w:val="auto"/>
            <w:u w:val="none"/>
          </w:rPr>
          <w:t>Appendix 2: Action Plan 2017/18</w:t>
        </w:r>
      </w:hyperlink>
      <w:r w:rsidR="006C6770" w:rsidRPr="00DA4925">
        <w:rPr>
          <w:rStyle w:val="Hyperlink"/>
          <w:color w:val="auto"/>
          <w:u w:val="none"/>
        </w:rPr>
        <w:tab/>
        <w:t>16</w:t>
      </w:r>
    </w:p>
    <w:p w:rsidR="006112E1" w:rsidRPr="00DA4925" w:rsidRDefault="00E31E0B" w:rsidP="006112E1">
      <w:pPr>
        <w:pStyle w:val="TOC1"/>
        <w:rPr>
          <w:rStyle w:val="Hyperlink"/>
          <w:color w:val="auto"/>
          <w:u w:val="none"/>
        </w:rPr>
      </w:pPr>
      <w:hyperlink w:anchor="_Toc445450810" w:history="1">
        <w:r w:rsidR="006112E1" w:rsidRPr="00DA4925">
          <w:rPr>
            <w:rStyle w:val="Hyperlink"/>
            <w:color w:val="auto"/>
            <w:u w:val="none"/>
          </w:rPr>
          <w:t>Appendix 3: Performance Indicators 2017/18</w:t>
        </w:r>
      </w:hyperlink>
      <w:r w:rsidR="006C6770" w:rsidRPr="00DA4925">
        <w:rPr>
          <w:rStyle w:val="Hyperlink"/>
          <w:color w:val="auto"/>
          <w:u w:val="none"/>
        </w:rPr>
        <w:tab/>
        <w:t>1</w:t>
      </w:r>
      <w:r w:rsidR="00CC7802">
        <w:rPr>
          <w:rStyle w:val="Hyperlink"/>
          <w:color w:val="auto"/>
          <w:u w:val="none"/>
        </w:rPr>
        <w:t>9</w:t>
      </w:r>
    </w:p>
    <w:p w:rsidR="009C1BFC" w:rsidRPr="00DA4925" w:rsidRDefault="00E31E0B" w:rsidP="009C1BFC">
      <w:pPr>
        <w:pStyle w:val="TOC1"/>
        <w:rPr>
          <w:rStyle w:val="Hyperlink"/>
          <w:color w:val="auto"/>
          <w:u w:val="none"/>
        </w:rPr>
      </w:pPr>
      <w:hyperlink w:anchor="_Toc445450810" w:history="1">
        <w:r w:rsidR="009C1BFC" w:rsidRPr="00DA4925">
          <w:rPr>
            <w:rStyle w:val="Hyperlink"/>
            <w:color w:val="auto"/>
            <w:u w:val="none"/>
          </w:rPr>
          <w:t>Appendix 4: Workforce Plan 2017/18</w:t>
        </w:r>
      </w:hyperlink>
      <w:r w:rsidR="006C6770" w:rsidRPr="00DA4925">
        <w:rPr>
          <w:rStyle w:val="Hyperlink"/>
          <w:color w:val="auto"/>
          <w:u w:val="none"/>
        </w:rPr>
        <w:tab/>
      </w:r>
      <w:r w:rsidR="00CC7802">
        <w:rPr>
          <w:rStyle w:val="Hyperlink"/>
          <w:color w:val="auto"/>
          <w:u w:val="none"/>
        </w:rPr>
        <w:t>20</w:t>
      </w:r>
    </w:p>
    <w:p w:rsidR="00924D9D" w:rsidRPr="00DA4925" w:rsidRDefault="00D1431A" w:rsidP="006112E1">
      <w:pPr>
        <w:pStyle w:val="TOC1"/>
        <w:rPr>
          <w:bCs/>
          <w:color w:val="auto"/>
          <w:kern w:val="32"/>
        </w:rPr>
      </w:pPr>
      <w:r w:rsidRPr="00DA4925">
        <w:rPr>
          <w:color w:val="auto"/>
          <w:highlight w:val="yellow"/>
        </w:rPr>
        <w:fldChar w:fldCharType="end"/>
      </w:r>
      <w:r w:rsidR="00924D9D" w:rsidRPr="00DA4925">
        <w:rPr>
          <w:color w:val="auto"/>
        </w:rPr>
        <w:br w:type="page"/>
      </w:r>
    </w:p>
    <w:bookmarkEnd w:id="1"/>
    <w:bookmarkEnd w:id="2"/>
    <w:p w:rsidR="00D1431A" w:rsidRPr="00DA4925" w:rsidRDefault="00D1431A" w:rsidP="00896A0F">
      <w:pPr>
        <w:pStyle w:val="TOC1"/>
        <w:pBdr>
          <w:top w:val="single" w:sz="4" w:space="1" w:color="auto"/>
          <w:left w:val="single" w:sz="4" w:space="4" w:color="auto"/>
          <w:bottom w:val="single" w:sz="4" w:space="1" w:color="auto"/>
          <w:right w:val="single" w:sz="4" w:space="4" w:color="auto"/>
        </w:pBdr>
        <w:rPr>
          <w:color w:val="auto"/>
        </w:rPr>
      </w:pPr>
      <w:r w:rsidRPr="00DA4925">
        <w:rPr>
          <w:color w:val="auto"/>
        </w:rPr>
        <w:lastRenderedPageBreak/>
        <w:t>1</w:t>
      </w:r>
      <w:r w:rsidRPr="00DA4925">
        <w:rPr>
          <w:color w:val="auto"/>
        </w:rPr>
        <w:tab/>
        <w:t>Overview and Profile</w:t>
      </w:r>
    </w:p>
    <w:p w:rsidR="00D1431A" w:rsidRPr="00DA4925" w:rsidRDefault="00D1431A" w:rsidP="00D1431A">
      <w:pPr>
        <w:spacing w:after="0" w:line="240" w:lineRule="auto"/>
        <w:rPr>
          <w:rFonts w:ascii="Arial" w:hAnsi="Arial" w:cs="Arial"/>
          <w:b/>
        </w:rPr>
      </w:pPr>
    </w:p>
    <w:p w:rsidR="00D1431A" w:rsidRPr="00DA4925" w:rsidRDefault="00D1431A" w:rsidP="00D1431A">
      <w:pPr>
        <w:spacing w:after="0" w:line="240" w:lineRule="auto"/>
        <w:rPr>
          <w:rFonts w:ascii="Arial" w:hAnsi="Arial" w:cs="Arial"/>
          <w:b/>
        </w:rPr>
      </w:pPr>
      <w:r w:rsidRPr="00DA4925">
        <w:rPr>
          <w:rFonts w:ascii="Arial" w:hAnsi="Arial" w:cs="Arial"/>
          <w:b/>
        </w:rPr>
        <w:t>OVERVIEW</w:t>
      </w:r>
    </w:p>
    <w:p w:rsidR="00D1431A" w:rsidRPr="00DA4925" w:rsidRDefault="00D1431A" w:rsidP="00D1431A">
      <w:pPr>
        <w:spacing w:after="0" w:line="240" w:lineRule="auto"/>
        <w:rPr>
          <w:rFonts w:ascii="Arial" w:hAnsi="Arial" w:cs="Arial"/>
        </w:rPr>
      </w:pPr>
    </w:p>
    <w:p w:rsidR="0000328B" w:rsidRPr="00DA4925" w:rsidRDefault="0000328B" w:rsidP="00D1431A">
      <w:pPr>
        <w:spacing w:after="0" w:line="240" w:lineRule="auto"/>
        <w:rPr>
          <w:rFonts w:ascii="Arial" w:hAnsi="Arial" w:cs="Arial"/>
        </w:rPr>
      </w:pPr>
      <w:r w:rsidRPr="00DA4925">
        <w:rPr>
          <w:rFonts w:ascii="Arial" w:hAnsi="Arial" w:cs="Arial"/>
        </w:rPr>
        <w:t>Environment &amp; Neighbourhood comprise</w:t>
      </w:r>
      <w:r w:rsidR="00FA1AFD" w:rsidRPr="00DA4925">
        <w:rPr>
          <w:rFonts w:ascii="Arial" w:hAnsi="Arial" w:cs="Arial"/>
        </w:rPr>
        <w:t>s</w:t>
      </w:r>
      <w:r w:rsidRPr="00DA4925">
        <w:rPr>
          <w:rFonts w:ascii="Arial" w:hAnsi="Arial" w:cs="Arial"/>
        </w:rPr>
        <w:t xml:space="preserve"> a wide range of services covering roads and transportation, fleet and waste, greenspace, and leisure and facilities management.</w:t>
      </w:r>
    </w:p>
    <w:p w:rsidR="0000328B" w:rsidRPr="00DA4925" w:rsidRDefault="0000328B" w:rsidP="00D1431A">
      <w:pPr>
        <w:spacing w:after="0" w:line="240" w:lineRule="auto"/>
        <w:rPr>
          <w:rFonts w:ascii="Arial" w:hAnsi="Arial" w:cs="Arial"/>
        </w:rPr>
      </w:pPr>
    </w:p>
    <w:p w:rsidR="0000328B" w:rsidRPr="00DA4925" w:rsidRDefault="0000328B" w:rsidP="0000328B">
      <w:pPr>
        <w:spacing w:after="0" w:line="240" w:lineRule="auto"/>
        <w:rPr>
          <w:rFonts w:ascii="Arial" w:hAnsi="Arial" w:cs="Arial"/>
        </w:rPr>
      </w:pPr>
      <w:r w:rsidRPr="00DA4925">
        <w:rPr>
          <w:rFonts w:ascii="Arial" w:hAnsi="Arial" w:cs="Arial"/>
        </w:rPr>
        <w:t xml:space="preserve">With </w:t>
      </w:r>
      <w:r w:rsidR="00A91B4B" w:rsidRPr="00DA4925">
        <w:rPr>
          <w:rFonts w:ascii="Arial" w:hAnsi="Arial" w:cs="Arial"/>
        </w:rPr>
        <w:t>943</w:t>
      </w:r>
      <w:r w:rsidRPr="00DA4925">
        <w:rPr>
          <w:rFonts w:ascii="Arial" w:hAnsi="Arial" w:cs="Arial"/>
        </w:rPr>
        <w:t xml:space="preserve"> employees</w:t>
      </w:r>
      <w:r w:rsidR="00360DA9" w:rsidRPr="00DA4925">
        <w:rPr>
          <w:rFonts w:ascii="Arial" w:hAnsi="Arial" w:cs="Arial"/>
        </w:rPr>
        <w:t xml:space="preserve"> (</w:t>
      </w:r>
      <w:r w:rsidR="00A91B4B" w:rsidRPr="00DA4925">
        <w:rPr>
          <w:rFonts w:ascii="Arial" w:hAnsi="Arial" w:cs="Arial"/>
        </w:rPr>
        <w:t>615 full time equivalents</w:t>
      </w:r>
      <w:r w:rsidR="00360DA9" w:rsidRPr="00DA4925">
        <w:rPr>
          <w:rFonts w:ascii="Arial" w:hAnsi="Arial" w:cs="Arial"/>
        </w:rPr>
        <w:t>)</w:t>
      </w:r>
      <w:r w:rsidRPr="00DA4925">
        <w:rPr>
          <w:rFonts w:ascii="Arial" w:hAnsi="Arial" w:cs="Arial"/>
        </w:rPr>
        <w:t xml:space="preserve"> and a </w:t>
      </w:r>
      <w:r w:rsidR="00DB2579" w:rsidRPr="00DA4925">
        <w:rPr>
          <w:rFonts w:ascii="Arial" w:hAnsi="Arial" w:cs="Arial"/>
        </w:rPr>
        <w:t xml:space="preserve">net </w:t>
      </w:r>
      <w:r w:rsidR="00193BC6" w:rsidRPr="00DA4925">
        <w:rPr>
          <w:rFonts w:ascii="Arial" w:hAnsi="Arial" w:cs="Arial"/>
        </w:rPr>
        <w:t xml:space="preserve">revenue </w:t>
      </w:r>
      <w:r w:rsidRPr="00DA4925">
        <w:rPr>
          <w:rFonts w:ascii="Arial" w:hAnsi="Arial" w:cs="Arial"/>
        </w:rPr>
        <w:t xml:space="preserve">budget of </w:t>
      </w:r>
      <w:r w:rsidR="00FA1AFD" w:rsidRPr="00DA4925">
        <w:rPr>
          <w:rFonts w:ascii="Arial" w:hAnsi="Arial" w:cs="Arial"/>
        </w:rPr>
        <w:t>£27m</w:t>
      </w:r>
      <w:r w:rsidRPr="00DA4925">
        <w:rPr>
          <w:rFonts w:ascii="Arial" w:hAnsi="Arial" w:cs="Arial"/>
        </w:rPr>
        <w:t xml:space="preserve">, it is one of 8 strategic areas </w:t>
      </w:r>
      <w:r w:rsidR="00FA1AFD" w:rsidRPr="00DA4925">
        <w:rPr>
          <w:rFonts w:ascii="Arial" w:hAnsi="Arial" w:cs="Arial"/>
        </w:rPr>
        <w:t>with</w:t>
      </w:r>
      <w:r w:rsidRPr="00DA4925">
        <w:rPr>
          <w:rFonts w:ascii="Arial" w:hAnsi="Arial" w:cs="Arial"/>
        </w:rPr>
        <w:t xml:space="preserve"> responsibility for delivering the Council’s Strategic Plan.</w:t>
      </w:r>
    </w:p>
    <w:p w:rsidR="0000328B" w:rsidRPr="00DA4925" w:rsidRDefault="0000328B" w:rsidP="0000328B">
      <w:pPr>
        <w:spacing w:after="0" w:line="240" w:lineRule="auto"/>
        <w:rPr>
          <w:rFonts w:ascii="Arial" w:hAnsi="Arial" w:cs="Arial"/>
        </w:rPr>
      </w:pPr>
    </w:p>
    <w:p w:rsidR="0000328B" w:rsidRPr="00DA4925" w:rsidRDefault="007B0BD9" w:rsidP="0000328B">
      <w:pPr>
        <w:spacing w:after="0" w:line="240" w:lineRule="auto"/>
        <w:rPr>
          <w:rFonts w:ascii="Arial" w:hAnsi="Arial" w:cs="Arial"/>
        </w:rPr>
      </w:pPr>
      <w:r w:rsidRPr="00DA4925">
        <w:rPr>
          <w:rFonts w:ascii="Arial" w:hAnsi="Arial" w:cs="Arial"/>
        </w:rPr>
        <w:t>This</w:t>
      </w:r>
      <w:r w:rsidR="00FA1AFD" w:rsidRPr="00DA4925">
        <w:rPr>
          <w:rFonts w:ascii="Arial" w:hAnsi="Arial" w:cs="Arial"/>
        </w:rPr>
        <w:t xml:space="preserve"> delivery plan </w:t>
      </w:r>
      <w:r w:rsidR="000F6117">
        <w:rPr>
          <w:rFonts w:ascii="Arial" w:hAnsi="Arial" w:cs="Arial"/>
        </w:rPr>
        <w:t>reviews</w:t>
      </w:r>
      <w:r w:rsidR="00A24BB0" w:rsidRPr="00DA4925">
        <w:rPr>
          <w:rFonts w:ascii="Arial" w:hAnsi="Arial" w:cs="Arial"/>
        </w:rPr>
        <w:t xml:space="preserve"> our achievements</w:t>
      </w:r>
      <w:r w:rsidR="0060217D">
        <w:rPr>
          <w:rFonts w:ascii="Arial" w:hAnsi="Arial" w:cs="Arial"/>
        </w:rPr>
        <w:t xml:space="preserve"> </w:t>
      </w:r>
      <w:r w:rsidR="00A24BB0" w:rsidRPr="00DA4925">
        <w:rPr>
          <w:rFonts w:ascii="Arial" w:hAnsi="Arial" w:cs="Arial"/>
        </w:rPr>
        <w:t xml:space="preserve">and areas for improvement </w:t>
      </w:r>
      <w:r w:rsidR="000F6117">
        <w:rPr>
          <w:rFonts w:ascii="Arial" w:hAnsi="Arial" w:cs="Arial"/>
        </w:rPr>
        <w:t>in the past year</w:t>
      </w:r>
      <w:r w:rsidR="000F6117" w:rsidRPr="00DA4925">
        <w:rPr>
          <w:rFonts w:ascii="Arial" w:hAnsi="Arial" w:cs="Arial"/>
        </w:rPr>
        <w:t xml:space="preserve"> </w:t>
      </w:r>
      <w:r w:rsidR="00A24BB0" w:rsidRPr="00DA4925">
        <w:rPr>
          <w:rFonts w:ascii="Arial" w:hAnsi="Arial" w:cs="Arial"/>
        </w:rPr>
        <w:t xml:space="preserve">and </w:t>
      </w:r>
      <w:r w:rsidRPr="00DA4925">
        <w:rPr>
          <w:rFonts w:ascii="Arial" w:hAnsi="Arial" w:cs="Arial"/>
        </w:rPr>
        <w:t xml:space="preserve">sets out our key actions to </w:t>
      </w:r>
      <w:r w:rsidR="00FA1AFD" w:rsidRPr="00DA4925">
        <w:rPr>
          <w:rFonts w:ascii="Arial" w:hAnsi="Arial" w:cs="Arial"/>
        </w:rPr>
        <w:t xml:space="preserve">support the delivery of </w:t>
      </w:r>
      <w:r w:rsidRPr="00DA4925">
        <w:rPr>
          <w:rFonts w:ascii="Arial" w:hAnsi="Arial" w:cs="Arial"/>
        </w:rPr>
        <w:t>the Strategic Plan priorities and objectives in 2017/18.</w:t>
      </w:r>
    </w:p>
    <w:p w:rsidR="00B24354" w:rsidRPr="00DA4925" w:rsidRDefault="00B24354" w:rsidP="0000328B">
      <w:pPr>
        <w:spacing w:after="0" w:line="240" w:lineRule="auto"/>
        <w:rPr>
          <w:rFonts w:ascii="Arial" w:hAnsi="Arial" w:cs="Arial"/>
        </w:rPr>
      </w:pPr>
    </w:p>
    <w:p w:rsidR="00D1431A" w:rsidRPr="00DA4925" w:rsidRDefault="00D1431A" w:rsidP="00D1431A">
      <w:pPr>
        <w:autoSpaceDE w:val="0"/>
        <w:autoSpaceDN w:val="0"/>
        <w:adjustRightInd w:val="0"/>
        <w:spacing w:after="0" w:line="240" w:lineRule="auto"/>
        <w:rPr>
          <w:rFonts w:ascii="Arial" w:hAnsi="Arial" w:cs="Arial"/>
          <w:b/>
          <w:lang w:val="en-GB"/>
        </w:rPr>
      </w:pPr>
      <w:r w:rsidRPr="00DA4925">
        <w:rPr>
          <w:rFonts w:ascii="Arial" w:hAnsi="Arial" w:cs="Arial"/>
          <w:b/>
          <w:lang w:val="en-GB"/>
        </w:rPr>
        <w:t>PROFILE</w:t>
      </w:r>
    </w:p>
    <w:p w:rsidR="00671919" w:rsidRPr="00DA4925" w:rsidRDefault="00671919" w:rsidP="00D1431A">
      <w:pPr>
        <w:autoSpaceDE w:val="0"/>
        <w:autoSpaceDN w:val="0"/>
        <w:adjustRightInd w:val="0"/>
        <w:spacing w:after="0" w:line="240" w:lineRule="auto"/>
        <w:rPr>
          <w:rFonts w:ascii="Arial" w:hAnsi="Arial" w:cs="Arial"/>
          <w:highlight w:val="yellow"/>
        </w:rPr>
      </w:pPr>
    </w:p>
    <w:p w:rsidR="00C9138E" w:rsidRPr="00DA4925" w:rsidRDefault="0024130B" w:rsidP="00D1431A">
      <w:pPr>
        <w:spacing w:after="0" w:line="240" w:lineRule="auto"/>
        <w:rPr>
          <w:rFonts w:ascii="Arial" w:hAnsi="Arial" w:cs="Arial"/>
        </w:rPr>
      </w:pPr>
      <w:r w:rsidRPr="00DA4925">
        <w:rPr>
          <w:rFonts w:ascii="Arial" w:hAnsi="Arial" w:cs="Arial"/>
        </w:rPr>
        <w:t xml:space="preserve">There are four distinct services within </w:t>
      </w:r>
      <w:r w:rsidR="00DD23B7" w:rsidRPr="00DA4925">
        <w:rPr>
          <w:rFonts w:ascii="Arial" w:hAnsi="Arial" w:cs="Arial"/>
        </w:rPr>
        <w:t xml:space="preserve">Environment </w:t>
      </w:r>
      <w:r w:rsidR="00B8391F" w:rsidRPr="00DA4925">
        <w:rPr>
          <w:rFonts w:ascii="Arial" w:hAnsi="Arial" w:cs="Arial"/>
        </w:rPr>
        <w:t>and</w:t>
      </w:r>
      <w:r w:rsidR="00DD23B7" w:rsidRPr="00DA4925">
        <w:rPr>
          <w:rFonts w:ascii="Arial" w:hAnsi="Arial" w:cs="Arial"/>
        </w:rPr>
        <w:t xml:space="preserve"> Neighbourhood</w:t>
      </w:r>
      <w:r w:rsidRPr="00DA4925">
        <w:rPr>
          <w:rFonts w:ascii="Arial" w:hAnsi="Arial" w:cs="Arial"/>
        </w:rPr>
        <w:t xml:space="preserve">: </w:t>
      </w:r>
      <w:r w:rsidR="00DD23B7" w:rsidRPr="00DA4925">
        <w:rPr>
          <w:rFonts w:ascii="Arial" w:hAnsi="Arial" w:cs="Arial"/>
        </w:rPr>
        <w:t xml:space="preserve">Roads </w:t>
      </w:r>
      <w:r w:rsidR="00C9138E" w:rsidRPr="00DA4925">
        <w:rPr>
          <w:rFonts w:ascii="Arial" w:hAnsi="Arial" w:cs="Arial"/>
        </w:rPr>
        <w:t xml:space="preserve">and </w:t>
      </w:r>
      <w:r w:rsidR="00362F42" w:rsidRPr="00DA4925">
        <w:rPr>
          <w:rFonts w:ascii="Arial" w:hAnsi="Arial" w:cs="Arial"/>
        </w:rPr>
        <w:t>T</w:t>
      </w:r>
      <w:r w:rsidR="00C9138E" w:rsidRPr="00DA4925">
        <w:rPr>
          <w:rFonts w:ascii="Arial" w:hAnsi="Arial" w:cs="Arial"/>
        </w:rPr>
        <w:t>ransportation</w:t>
      </w:r>
      <w:r w:rsidR="00DD23B7" w:rsidRPr="00DA4925">
        <w:rPr>
          <w:rFonts w:ascii="Arial" w:hAnsi="Arial" w:cs="Arial"/>
        </w:rPr>
        <w:t xml:space="preserve">; </w:t>
      </w:r>
      <w:r w:rsidR="00C9138E" w:rsidRPr="00DA4925">
        <w:rPr>
          <w:rFonts w:ascii="Arial" w:hAnsi="Arial" w:cs="Arial"/>
        </w:rPr>
        <w:t>Fleet and Waste</w:t>
      </w:r>
      <w:r w:rsidR="00DD23B7" w:rsidRPr="00DA4925">
        <w:rPr>
          <w:rFonts w:ascii="Arial" w:hAnsi="Arial" w:cs="Arial"/>
        </w:rPr>
        <w:t>; Greenspace (including street cleansing);</w:t>
      </w:r>
      <w:r w:rsidRPr="00DA4925">
        <w:rPr>
          <w:rFonts w:ascii="Arial" w:hAnsi="Arial" w:cs="Arial"/>
        </w:rPr>
        <w:t xml:space="preserve"> and</w:t>
      </w:r>
      <w:r w:rsidR="00DD23B7" w:rsidRPr="00DA4925">
        <w:rPr>
          <w:rFonts w:ascii="Arial" w:hAnsi="Arial" w:cs="Arial"/>
        </w:rPr>
        <w:t xml:space="preserve"> </w:t>
      </w:r>
      <w:r w:rsidR="00C9138E" w:rsidRPr="00DA4925">
        <w:rPr>
          <w:rFonts w:ascii="Arial" w:hAnsi="Arial" w:cs="Arial"/>
        </w:rPr>
        <w:t>Leisure and Facilities Management</w:t>
      </w:r>
      <w:r w:rsidR="00DD23B7" w:rsidRPr="00DA4925">
        <w:rPr>
          <w:rFonts w:ascii="Arial" w:hAnsi="Arial" w:cs="Arial"/>
        </w:rPr>
        <w:t>.</w:t>
      </w:r>
      <w:r w:rsidR="00BF3A48" w:rsidRPr="00DA4925">
        <w:rPr>
          <w:rFonts w:ascii="Arial" w:hAnsi="Arial" w:cs="Arial"/>
        </w:rPr>
        <w:t xml:space="preserve"> A structure chart is set out at Appendix 1.</w:t>
      </w:r>
    </w:p>
    <w:p w:rsidR="00BF3A48" w:rsidRPr="00DA4925" w:rsidRDefault="00BF3A48" w:rsidP="00D1431A">
      <w:pPr>
        <w:spacing w:after="0" w:line="240" w:lineRule="auto"/>
        <w:rPr>
          <w:rFonts w:ascii="Arial" w:hAnsi="Arial" w:cs="Arial"/>
        </w:rPr>
      </w:pPr>
    </w:p>
    <w:p w:rsidR="0024130B" w:rsidRPr="00DA4925" w:rsidRDefault="00C9138E" w:rsidP="00D1431A">
      <w:pPr>
        <w:spacing w:after="0" w:line="240" w:lineRule="auto"/>
        <w:rPr>
          <w:rFonts w:ascii="Arial" w:hAnsi="Arial" w:cs="Arial"/>
          <w:b/>
        </w:rPr>
      </w:pPr>
      <w:r w:rsidRPr="00DA4925">
        <w:rPr>
          <w:rFonts w:ascii="Arial" w:hAnsi="Arial" w:cs="Arial"/>
          <w:b/>
        </w:rPr>
        <w:t>Roads and Transportation</w:t>
      </w:r>
    </w:p>
    <w:p w:rsidR="0024130B" w:rsidRPr="00DA4925" w:rsidRDefault="0024130B" w:rsidP="00D1431A">
      <w:pPr>
        <w:spacing w:after="0" w:line="240" w:lineRule="auto"/>
        <w:rPr>
          <w:rFonts w:ascii="Arial" w:hAnsi="Arial" w:cs="Arial"/>
          <w:b/>
        </w:rPr>
      </w:pPr>
    </w:p>
    <w:p w:rsidR="00C9138E" w:rsidRPr="00DA4925" w:rsidRDefault="0024130B" w:rsidP="00D1431A">
      <w:pPr>
        <w:spacing w:after="0" w:line="240" w:lineRule="auto"/>
        <w:rPr>
          <w:rFonts w:ascii="Arial" w:hAnsi="Arial" w:cs="Arial"/>
        </w:rPr>
      </w:pPr>
      <w:r w:rsidRPr="00DA4925">
        <w:rPr>
          <w:rFonts w:ascii="Arial" w:hAnsi="Arial" w:cs="Arial"/>
        </w:rPr>
        <w:t>This service</w:t>
      </w:r>
      <w:r w:rsidRPr="00DA4925">
        <w:rPr>
          <w:rFonts w:ascii="Arial" w:hAnsi="Arial" w:cs="Arial"/>
          <w:b/>
        </w:rPr>
        <w:t xml:space="preserve"> </w:t>
      </w:r>
      <w:r w:rsidR="00C9138E" w:rsidRPr="00DA4925">
        <w:rPr>
          <w:rFonts w:ascii="Arial" w:hAnsi="Arial" w:cs="Arial"/>
        </w:rPr>
        <w:t>manages and maintains the Council’s road network and associated infrastructure which has a combined asset value in excess of £560m. It also has additional responsibilities for monitoring all watercourses and taking appropriate measures to mitigate the risk of flooding, responding to adverse weather and promoting road safety.</w:t>
      </w:r>
    </w:p>
    <w:p w:rsidR="00C9138E" w:rsidRPr="00DA4925" w:rsidRDefault="00C9138E" w:rsidP="00D1431A">
      <w:pPr>
        <w:spacing w:after="0" w:line="240" w:lineRule="auto"/>
        <w:rPr>
          <w:rFonts w:ascii="Arial" w:hAnsi="Arial" w:cs="Arial"/>
          <w:b/>
          <w:highlight w:val="yellow"/>
        </w:rPr>
      </w:pPr>
    </w:p>
    <w:p w:rsidR="00C9138E" w:rsidRPr="00DA4925" w:rsidRDefault="009F7CDD" w:rsidP="00D1431A">
      <w:pPr>
        <w:spacing w:after="0" w:line="240" w:lineRule="auto"/>
        <w:rPr>
          <w:rFonts w:ascii="Arial" w:hAnsi="Arial" w:cs="Arial"/>
        </w:rPr>
      </w:pPr>
      <w:r w:rsidRPr="00DA4925">
        <w:rPr>
          <w:rFonts w:ascii="Arial" w:hAnsi="Arial" w:cs="Arial"/>
        </w:rPr>
        <w:t>T</w:t>
      </w:r>
      <w:r w:rsidR="00C9138E" w:rsidRPr="00DA4925">
        <w:rPr>
          <w:rFonts w:ascii="Arial" w:hAnsi="Arial" w:cs="Arial"/>
        </w:rPr>
        <w:t xml:space="preserve">he </w:t>
      </w:r>
      <w:r w:rsidR="0024130B" w:rsidRPr="00DA4925">
        <w:rPr>
          <w:rFonts w:ascii="Arial" w:hAnsi="Arial" w:cs="Arial"/>
        </w:rPr>
        <w:t>service</w:t>
      </w:r>
      <w:r w:rsidR="00C9138E" w:rsidRPr="00DA4925">
        <w:rPr>
          <w:rFonts w:ascii="Arial" w:hAnsi="Arial" w:cs="Arial"/>
        </w:rPr>
        <w:t xml:space="preserve"> manage</w:t>
      </w:r>
      <w:r w:rsidRPr="00DA4925">
        <w:rPr>
          <w:rFonts w:ascii="Arial" w:hAnsi="Arial" w:cs="Arial"/>
        </w:rPr>
        <w:t xml:space="preserve">s, </w:t>
      </w:r>
      <w:r w:rsidR="00C9138E" w:rsidRPr="00DA4925">
        <w:rPr>
          <w:rFonts w:ascii="Arial" w:hAnsi="Arial" w:cs="Arial"/>
        </w:rPr>
        <w:t>maintain</w:t>
      </w:r>
      <w:r w:rsidRPr="00DA4925">
        <w:rPr>
          <w:rFonts w:ascii="Arial" w:hAnsi="Arial" w:cs="Arial"/>
        </w:rPr>
        <w:t>s</w:t>
      </w:r>
      <w:r w:rsidR="00C9138E" w:rsidRPr="00DA4925">
        <w:rPr>
          <w:rFonts w:ascii="Arial" w:hAnsi="Arial" w:cs="Arial"/>
        </w:rPr>
        <w:t xml:space="preserve"> and undert</w:t>
      </w:r>
      <w:r w:rsidRPr="00DA4925">
        <w:rPr>
          <w:rFonts w:ascii="Arial" w:hAnsi="Arial" w:cs="Arial"/>
        </w:rPr>
        <w:t>akes</w:t>
      </w:r>
      <w:r w:rsidR="00C9138E" w:rsidRPr="00DA4925">
        <w:rPr>
          <w:rFonts w:ascii="Arial" w:hAnsi="Arial" w:cs="Arial"/>
        </w:rPr>
        <w:t xml:space="preserve"> regular safety inspections of the 347km of public road and 664 km of footways and footpaths. </w:t>
      </w:r>
      <w:r w:rsidR="0024130B" w:rsidRPr="00DA4925">
        <w:rPr>
          <w:rFonts w:ascii="Arial" w:hAnsi="Arial" w:cs="Arial"/>
        </w:rPr>
        <w:t>It</w:t>
      </w:r>
      <w:r w:rsidR="00C9138E" w:rsidRPr="00DA4925">
        <w:rPr>
          <w:rFonts w:ascii="Arial" w:hAnsi="Arial" w:cs="Arial"/>
        </w:rPr>
        <w:t xml:space="preserve"> also manage</w:t>
      </w:r>
      <w:r w:rsidRPr="00DA4925">
        <w:rPr>
          <w:rFonts w:ascii="Arial" w:hAnsi="Arial" w:cs="Arial"/>
        </w:rPr>
        <w:t>s</w:t>
      </w:r>
      <w:r w:rsidR="00C9138E" w:rsidRPr="00DA4925">
        <w:rPr>
          <w:rFonts w:ascii="Arial" w:hAnsi="Arial" w:cs="Arial"/>
        </w:rPr>
        <w:t xml:space="preserve"> and maintain</w:t>
      </w:r>
      <w:r w:rsidRPr="00DA4925">
        <w:rPr>
          <w:rFonts w:ascii="Arial" w:hAnsi="Arial" w:cs="Arial"/>
        </w:rPr>
        <w:t>s</w:t>
      </w:r>
      <w:r w:rsidR="00C9138E" w:rsidRPr="00DA4925">
        <w:rPr>
          <w:rFonts w:ascii="Arial" w:hAnsi="Arial" w:cs="Arial"/>
        </w:rPr>
        <w:t xml:space="preserve"> over 200 related structures </w:t>
      </w:r>
      <w:r w:rsidR="0024130B" w:rsidRPr="00DA4925">
        <w:rPr>
          <w:rFonts w:ascii="Arial" w:hAnsi="Arial" w:cs="Arial"/>
        </w:rPr>
        <w:t xml:space="preserve">including </w:t>
      </w:r>
      <w:r w:rsidR="00C9138E" w:rsidRPr="00DA4925">
        <w:rPr>
          <w:rFonts w:ascii="Arial" w:hAnsi="Arial" w:cs="Arial"/>
        </w:rPr>
        <w:t>bridges, underpasses, retaining walls and large culverts and over 16,000 streetlights and ill</w:t>
      </w:r>
      <w:r w:rsidR="0024130B" w:rsidRPr="00DA4925">
        <w:rPr>
          <w:rFonts w:ascii="Arial" w:hAnsi="Arial" w:cs="Arial"/>
        </w:rPr>
        <w:t>uminated street signs.</w:t>
      </w:r>
    </w:p>
    <w:p w:rsidR="00B94E13" w:rsidRPr="00DA4925" w:rsidRDefault="00B94E13" w:rsidP="00D1431A">
      <w:pPr>
        <w:spacing w:after="0" w:line="240" w:lineRule="auto"/>
        <w:rPr>
          <w:rFonts w:ascii="Arial" w:hAnsi="Arial" w:cs="Arial"/>
          <w:b/>
        </w:rPr>
      </w:pPr>
    </w:p>
    <w:p w:rsidR="0024130B" w:rsidRPr="00DA4925" w:rsidRDefault="0024130B" w:rsidP="00D1431A">
      <w:pPr>
        <w:spacing w:after="0" w:line="240" w:lineRule="auto"/>
        <w:rPr>
          <w:rFonts w:ascii="Arial" w:hAnsi="Arial" w:cs="Arial"/>
          <w:b/>
        </w:rPr>
      </w:pPr>
      <w:r w:rsidRPr="00DA4925">
        <w:rPr>
          <w:rFonts w:ascii="Arial" w:hAnsi="Arial" w:cs="Arial"/>
          <w:b/>
        </w:rPr>
        <w:t>Fleet and Waste</w:t>
      </w:r>
    </w:p>
    <w:p w:rsidR="0024130B" w:rsidRPr="00DA4925" w:rsidRDefault="0024130B" w:rsidP="00D1431A">
      <w:pPr>
        <w:spacing w:after="0" w:line="240" w:lineRule="auto"/>
        <w:rPr>
          <w:rFonts w:ascii="Arial" w:hAnsi="Arial" w:cs="Arial"/>
          <w:b/>
        </w:rPr>
      </w:pPr>
    </w:p>
    <w:p w:rsidR="0024130B" w:rsidRPr="00DA4925" w:rsidRDefault="0024130B" w:rsidP="00D1431A">
      <w:pPr>
        <w:spacing w:after="0" w:line="240" w:lineRule="auto"/>
        <w:rPr>
          <w:rFonts w:ascii="Arial" w:hAnsi="Arial" w:cs="Arial"/>
        </w:rPr>
      </w:pPr>
      <w:r w:rsidRPr="00DA4925">
        <w:rPr>
          <w:rFonts w:ascii="Arial" w:hAnsi="Arial" w:cs="Arial"/>
        </w:rPr>
        <w:t>This service</w:t>
      </w:r>
      <w:r w:rsidRPr="00DA4925">
        <w:rPr>
          <w:rFonts w:ascii="Arial" w:hAnsi="Arial" w:cs="Arial"/>
          <w:b/>
        </w:rPr>
        <w:t xml:space="preserve"> </w:t>
      </w:r>
      <w:r w:rsidR="00786836" w:rsidRPr="00DA4925">
        <w:rPr>
          <w:rFonts w:ascii="Arial" w:hAnsi="Arial" w:cs="Arial"/>
        </w:rPr>
        <w:t>manages the waste arising from all households in the Council area, in-house operations and registe</w:t>
      </w:r>
      <w:r w:rsidRPr="00DA4925">
        <w:rPr>
          <w:rFonts w:ascii="Arial" w:hAnsi="Arial" w:cs="Arial"/>
        </w:rPr>
        <w:t xml:space="preserve">red commercial waste </w:t>
      </w:r>
      <w:r w:rsidR="00067C76" w:rsidRPr="00DA4925">
        <w:rPr>
          <w:rFonts w:ascii="Arial" w:hAnsi="Arial" w:cs="Arial"/>
        </w:rPr>
        <w:t>users</w:t>
      </w:r>
      <w:r w:rsidRPr="00DA4925">
        <w:rPr>
          <w:rFonts w:ascii="Arial" w:hAnsi="Arial" w:cs="Arial"/>
        </w:rPr>
        <w:t>.</w:t>
      </w:r>
    </w:p>
    <w:p w:rsidR="0024130B" w:rsidRPr="00DA4925" w:rsidRDefault="0024130B" w:rsidP="00D1431A">
      <w:pPr>
        <w:spacing w:after="0" w:line="240" w:lineRule="auto"/>
        <w:rPr>
          <w:rFonts w:ascii="Arial" w:hAnsi="Arial" w:cs="Arial"/>
        </w:rPr>
      </w:pPr>
    </w:p>
    <w:p w:rsidR="0024130B" w:rsidRPr="00DA4925" w:rsidRDefault="00786836" w:rsidP="00D1431A">
      <w:pPr>
        <w:spacing w:after="0" w:line="240" w:lineRule="auto"/>
        <w:rPr>
          <w:rFonts w:ascii="Arial" w:hAnsi="Arial" w:cs="Arial"/>
        </w:rPr>
      </w:pPr>
      <w:r w:rsidRPr="00DA4925">
        <w:rPr>
          <w:rFonts w:ascii="Arial" w:hAnsi="Arial" w:cs="Arial"/>
        </w:rPr>
        <w:t xml:space="preserve">The service also procures, manages, maintains and arranges the end of life disposal of the Council’s vehicle fleet and manages the social transport service for </w:t>
      </w:r>
      <w:r w:rsidR="00362F42" w:rsidRPr="00DA4925">
        <w:rPr>
          <w:rFonts w:ascii="Arial" w:hAnsi="Arial" w:cs="Arial"/>
        </w:rPr>
        <w:t xml:space="preserve">Health </w:t>
      </w:r>
      <w:r w:rsidR="00B8391F" w:rsidRPr="00DA4925">
        <w:rPr>
          <w:rFonts w:ascii="Arial" w:hAnsi="Arial" w:cs="Arial"/>
        </w:rPr>
        <w:t>and</w:t>
      </w:r>
      <w:r w:rsidR="00362F42" w:rsidRPr="00DA4925">
        <w:rPr>
          <w:rFonts w:ascii="Arial" w:hAnsi="Arial" w:cs="Arial"/>
        </w:rPr>
        <w:t xml:space="preserve"> Social Care</w:t>
      </w:r>
      <w:r w:rsidR="00B8391F" w:rsidRPr="00DA4925">
        <w:rPr>
          <w:rFonts w:ascii="Arial" w:hAnsi="Arial" w:cs="Arial"/>
        </w:rPr>
        <w:t xml:space="preserve">, </w:t>
      </w:r>
      <w:r w:rsidRPr="00DA4925">
        <w:rPr>
          <w:rFonts w:ascii="Arial" w:hAnsi="Arial" w:cs="Arial"/>
        </w:rPr>
        <w:t>and Educ</w:t>
      </w:r>
      <w:r w:rsidR="0024130B" w:rsidRPr="00DA4925">
        <w:rPr>
          <w:rFonts w:ascii="Arial" w:hAnsi="Arial" w:cs="Arial"/>
        </w:rPr>
        <w:t>ational Services.</w:t>
      </w:r>
    </w:p>
    <w:p w:rsidR="00232826" w:rsidRPr="00DA4925" w:rsidRDefault="00232826" w:rsidP="00D1431A">
      <w:pPr>
        <w:spacing w:after="0" w:line="240" w:lineRule="auto"/>
        <w:rPr>
          <w:rFonts w:ascii="Arial" w:hAnsi="Arial" w:cs="Arial"/>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E7642A" w:rsidRDefault="00E7642A" w:rsidP="00D1431A">
      <w:pPr>
        <w:spacing w:after="0" w:line="240" w:lineRule="auto"/>
        <w:rPr>
          <w:rFonts w:ascii="Arial" w:hAnsi="Arial" w:cs="Arial"/>
          <w:b/>
        </w:rPr>
      </w:pPr>
    </w:p>
    <w:p w:rsidR="0024130B" w:rsidRPr="00DA4925" w:rsidRDefault="00DD23B7" w:rsidP="00D1431A">
      <w:pPr>
        <w:spacing w:after="0" w:line="240" w:lineRule="auto"/>
        <w:rPr>
          <w:rFonts w:ascii="Arial" w:hAnsi="Arial" w:cs="Arial"/>
        </w:rPr>
      </w:pPr>
      <w:r w:rsidRPr="00DA4925">
        <w:rPr>
          <w:rFonts w:ascii="Arial" w:hAnsi="Arial" w:cs="Arial"/>
          <w:b/>
        </w:rPr>
        <w:lastRenderedPageBreak/>
        <w:t>Greenspace</w:t>
      </w:r>
    </w:p>
    <w:p w:rsidR="0024130B" w:rsidRPr="00DA4925" w:rsidRDefault="0024130B" w:rsidP="00D1431A">
      <w:pPr>
        <w:spacing w:after="0" w:line="240" w:lineRule="auto"/>
        <w:rPr>
          <w:rFonts w:ascii="Arial" w:hAnsi="Arial" w:cs="Arial"/>
        </w:rPr>
      </w:pPr>
    </w:p>
    <w:p w:rsidR="0024130B" w:rsidRPr="00DA4925" w:rsidRDefault="0024130B" w:rsidP="00D1431A">
      <w:pPr>
        <w:spacing w:after="0" w:line="240" w:lineRule="auto"/>
        <w:rPr>
          <w:rFonts w:ascii="Arial" w:hAnsi="Arial" w:cs="Arial"/>
        </w:rPr>
      </w:pPr>
      <w:r w:rsidRPr="00DA4925">
        <w:rPr>
          <w:rFonts w:ascii="Arial" w:hAnsi="Arial" w:cs="Arial"/>
        </w:rPr>
        <w:t xml:space="preserve">Greenspace </w:t>
      </w:r>
      <w:r w:rsidR="00DD23B7" w:rsidRPr="00DA4925">
        <w:rPr>
          <w:rFonts w:ascii="Arial" w:hAnsi="Arial" w:cs="Arial"/>
        </w:rPr>
        <w:t xml:space="preserve">operates the Council’s </w:t>
      </w:r>
      <w:r w:rsidRPr="00DA4925">
        <w:rPr>
          <w:rFonts w:ascii="Arial" w:hAnsi="Arial" w:cs="Arial"/>
        </w:rPr>
        <w:t>g</w:t>
      </w:r>
      <w:r w:rsidR="00DD23B7" w:rsidRPr="00DA4925">
        <w:rPr>
          <w:rFonts w:ascii="Arial" w:hAnsi="Arial" w:cs="Arial"/>
        </w:rPr>
        <w:t xml:space="preserve">rounds </w:t>
      </w:r>
      <w:r w:rsidRPr="00DA4925">
        <w:rPr>
          <w:rFonts w:ascii="Arial" w:hAnsi="Arial" w:cs="Arial"/>
        </w:rPr>
        <w:t>m</w:t>
      </w:r>
      <w:r w:rsidR="00DD23B7" w:rsidRPr="00DA4925">
        <w:rPr>
          <w:rFonts w:ascii="Arial" w:hAnsi="Arial" w:cs="Arial"/>
        </w:rPr>
        <w:t>aintenance, street cleaning and burial and cremation services under the terms</w:t>
      </w:r>
      <w:r w:rsidRPr="00DA4925">
        <w:rPr>
          <w:rFonts w:ascii="Arial" w:hAnsi="Arial" w:cs="Arial"/>
        </w:rPr>
        <w:t xml:space="preserve"> of a Service Level Agreement. </w:t>
      </w:r>
      <w:r w:rsidR="00DD23B7" w:rsidRPr="00DA4925">
        <w:rPr>
          <w:rFonts w:ascii="Arial" w:hAnsi="Arial" w:cs="Arial"/>
        </w:rPr>
        <w:t xml:space="preserve">The Service Level Agreement is the mechanism by which the Council delivers its policy aims and objectives for the management and maintenance of the Greenspace service.  </w:t>
      </w:r>
    </w:p>
    <w:p w:rsidR="00067C76" w:rsidRPr="00DA4925" w:rsidRDefault="00067C76" w:rsidP="00D1431A">
      <w:pPr>
        <w:spacing w:after="0" w:line="240" w:lineRule="auto"/>
        <w:rPr>
          <w:rFonts w:ascii="Arial" w:hAnsi="Arial" w:cs="Arial"/>
        </w:rPr>
      </w:pPr>
    </w:p>
    <w:p w:rsidR="0024130B" w:rsidRPr="00DA4925" w:rsidRDefault="00DD23B7" w:rsidP="00D1431A">
      <w:pPr>
        <w:spacing w:after="0" w:line="240" w:lineRule="auto"/>
        <w:rPr>
          <w:rFonts w:ascii="Arial" w:hAnsi="Arial" w:cs="Arial"/>
        </w:rPr>
      </w:pPr>
      <w:r w:rsidRPr="00DA4925">
        <w:rPr>
          <w:rFonts w:ascii="Arial" w:hAnsi="Arial" w:cs="Arial"/>
        </w:rPr>
        <w:t>Greenspace also provide</w:t>
      </w:r>
      <w:r w:rsidR="00C441C4" w:rsidRPr="00DA4925">
        <w:rPr>
          <w:rFonts w:ascii="Arial" w:hAnsi="Arial" w:cs="Arial"/>
        </w:rPr>
        <w:t>s</w:t>
      </w:r>
      <w:r w:rsidRPr="00DA4925">
        <w:rPr>
          <w:rFonts w:ascii="Arial" w:hAnsi="Arial" w:cs="Arial"/>
        </w:rPr>
        <w:t xml:space="preserve"> outdoor facilities such as</w:t>
      </w:r>
      <w:r w:rsidR="0024130B" w:rsidRPr="00DA4925">
        <w:rPr>
          <w:rFonts w:ascii="Arial" w:hAnsi="Arial" w:cs="Arial"/>
        </w:rPr>
        <w:t xml:space="preserve"> </w:t>
      </w:r>
      <w:r w:rsidRPr="00DA4925">
        <w:rPr>
          <w:rFonts w:ascii="Arial" w:hAnsi="Arial" w:cs="Arial"/>
        </w:rPr>
        <w:t>football pitches, play areas and parks</w:t>
      </w:r>
      <w:r w:rsidR="00C441C4" w:rsidRPr="00DA4925">
        <w:rPr>
          <w:rFonts w:ascii="Arial" w:hAnsi="Arial" w:cs="Arial"/>
        </w:rPr>
        <w:t>,</w:t>
      </w:r>
      <w:r w:rsidRPr="00DA4925">
        <w:rPr>
          <w:rFonts w:ascii="Arial" w:hAnsi="Arial" w:cs="Arial"/>
        </w:rPr>
        <w:t xml:space="preserve"> as well as dealing with countryside access, maintenance of woodlands a</w:t>
      </w:r>
      <w:r w:rsidR="0024130B" w:rsidRPr="00DA4925">
        <w:rPr>
          <w:rFonts w:ascii="Arial" w:hAnsi="Arial" w:cs="Arial"/>
        </w:rPr>
        <w:t>nd delivering a ranger service.</w:t>
      </w:r>
    </w:p>
    <w:p w:rsidR="0024130B" w:rsidRPr="00DA4925" w:rsidRDefault="0024130B" w:rsidP="00D1431A">
      <w:pPr>
        <w:spacing w:after="0" w:line="240" w:lineRule="auto"/>
        <w:rPr>
          <w:rFonts w:ascii="Arial" w:hAnsi="Arial" w:cs="Arial"/>
        </w:rPr>
      </w:pPr>
    </w:p>
    <w:p w:rsidR="0024130B" w:rsidRPr="00DA4925" w:rsidRDefault="00DD23B7" w:rsidP="00D1431A">
      <w:pPr>
        <w:spacing w:after="0" w:line="240" w:lineRule="auto"/>
        <w:rPr>
          <w:rFonts w:ascii="Arial" w:hAnsi="Arial" w:cs="Arial"/>
        </w:rPr>
      </w:pPr>
      <w:r w:rsidRPr="00DA4925">
        <w:rPr>
          <w:rFonts w:ascii="Arial" w:hAnsi="Arial" w:cs="Arial"/>
        </w:rPr>
        <w:t>Greenspace is particularly successful in attracting external funding from Sport</w:t>
      </w:r>
      <w:r w:rsidR="001F1138">
        <w:rPr>
          <w:rFonts w:ascii="Arial" w:hAnsi="Arial" w:cs="Arial"/>
        </w:rPr>
        <w:t xml:space="preserve"> S</w:t>
      </w:r>
      <w:r w:rsidRPr="00DA4925">
        <w:rPr>
          <w:rFonts w:ascii="Arial" w:hAnsi="Arial" w:cs="Arial"/>
        </w:rPr>
        <w:t>cotlan</w:t>
      </w:r>
      <w:r w:rsidR="0024130B" w:rsidRPr="00DA4925">
        <w:rPr>
          <w:rFonts w:ascii="Arial" w:hAnsi="Arial" w:cs="Arial"/>
        </w:rPr>
        <w:t>d and Heritage Lottery Funding.</w:t>
      </w:r>
    </w:p>
    <w:p w:rsidR="00362F42" w:rsidRPr="00DA4925" w:rsidRDefault="00362F42" w:rsidP="00D1431A">
      <w:pPr>
        <w:spacing w:after="0" w:line="240" w:lineRule="auto"/>
        <w:rPr>
          <w:rFonts w:ascii="Arial" w:hAnsi="Arial" w:cs="Arial"/>
          <w:b/>
          <w:bCs/>
          <w:sz w:val="24"/>
          <w:szCs w:val="24"/>
          <w:lang w:val="en-GB"/>
        </w:rPr>
      </w:pPr>
    </w:p>
    <w:p w:rsidR="0024130B" w:rsidRPr="00DA4925" w:rsidRDefault="00C9138E" w:rsidP="00D1431A">
      <w:pPr>
        <w:spacing w:after="0" w:line="240" w:lineRule="auto"/>
        <w:rPr>
          <w:rFonts w:ascii="Arial" w:hAnsi="Arial" w:cs="Arial"/>
          <w:b/>
          <w:bCs/>
          <w:lang w:val="en-GB"/>
        </w:rPr>
      </w:pPr>
      <w:r w:rsidRPr="00DA4925">
        <w:rPr>
          <w:rFonts w:ascii="Arial" w:hAnsi="Arial" w:cs="Arial"/>
          <w:b/>
          <w:bCs/>
          <w:lang w:val="en-GB"/>
        </w:rPr>
        <w:t>Leisure and Facilities Management</w:t>
      </w:r>
    </w:p>
    <w:p w:rsidR="0024130B" w:rsidRPr="00DA4925" w:rsidRDefault="0024130B" w:rsidP="00D1431A">
      <w:pPr>
        <w:spacing w:after="0" w:line="240" w:lineRule="auto"/>
        <w:rPr>
          <w:rFonts w:ascii="Arial" w:hAnsi="Arial" w:cs="Arial"/>
          <w:b/>
          <w:bCs/>
          <w:lang w:val="en-GB"/>
        </w:rPr>
      </w:pPr>
    </w:p>
    <w:p w:rsidR="00232826" w:rsidRPr="00DA4925" w:rsidRDefault="0024130B" w:rsidP="00D1431A">
      <w:pPr>
        <w:spacing w:after="0" w:line="240" w:lineRule="auto"/>
        <w:rPr>
          <w:rFonts w:ascii="Arial" w:hAnsi="Arial" w:cs="Arial"/>
          <w:lang w:val="en-GB"/>
        </w:rPr>
      </w:pPr>
      <w:r w:rsidRPr="00DA4925">
        <w:rPr>
          <w:rFonts w:ascii="Arial" w:hAnsi="Arial" w:cs="Arial"/>
          <w:bCs/>
          <w:lang w:val="en-GB"/>
        </w:rPr>
        <w:t>This service</w:t>
      </w:r>
      <w:r w:rsidRPr="00DA4925">
        <w:rPr>
          <w:rFonts w:ascii="Arial" w:hAnsi="Arial" w:cs="Arial"/>
          <w:b/>
          <w:bCs/>
          <w:lang w:val="en-GB"/>
        </w:rPr>
        <w:t xml:space="preserve"> </w:t>
      </w:r>
      <w:r w:rsidR="00C9138E" w:rsidRPr="00DA4925">
        <w:rPr>
          <w:rFonts w:ascii="Arial" w:hAnsi="Arial" w:cs="Arial"/>
          <w:lang w:val="en-GB"/>
        </w:rPr>
        <w:t xml:space="preserve">provides </w:t>
      </w:r>
      <w:r w:rsidRPr="00DA4925">
        <w:rPr>
          <w:rFonts w:ascii="Arial" w:hAnsi="Arial" w:cs="Arial"/>
          <w:lang w:val="en-GB"/>
        </w:rPr>
        <w:t>b</w:t>
      </w:r>
      <w:r w:rsidR="00C9138E" w:rsidRPr="00DA4925">
        <w:rPr>
          <w:rFonts w:ascii="Arial" w:hAnsi="Arial" w:cs="Arial"/>
          <w:lang w:val="en-GB"/>
        </w:rPr>
        <w:t xml:space="preserve">uilding </w:t>
      </w:r>
      <w:r w:rsidRPr="00DA4925">
        <w:rPr>
          <w:rFonts w:ascii="Arial" w:hAnsi="Arial" w:cs="Arial"/>
          <w:lang w:val="en-GB"/>
        </w:rPr>
        <w:t>c</w:t>
      </w:r>
      <w:r w:rsidR="00C9138E" w:rsidRPr="00DA4925">
        <w:rPr>
          <w:rFonts w:ascii="Arial" w:hAnsi="Arial" w:cs="Arial"/>
          <w:lang w:val="en-GB"/>
        </w:rPr>
        <w:t xml:space="preserve">leaning, </w:t>
      </w:r>
      <w:r w:rsidRPr="00DA4925">
        <w:rPr>
          <w:rFonts w:ascii="Arial" w:hAnsi="Arial" w:cs="Arial"/>
          <w:lang w:val="en-GB"/>
        </w:rPr>
        <w:t>f</w:t>
      </w:r>
      <w:r w:rsidR="00E12A2D" w:rsidRPr="00DA4925">
        <w:rPr>
          <w:rFonts w:ascii="Arial" w:hAnsi="Arial" w:cs="Arial"/>
          <w:lang w:val="en-GB"/>
        </w:rPr>
        <w:t xml:space="preserve">acilities </w:t>
      </w:r>
      <w:r w:rsidRPr="00DA4925">
        <w:rPr>
          <w:rFonts w:ascii="Arial" w:hAnsi="Arial" w:cs="Arial"/>
          <w:lang w:val="en-GB"/>
        </w:rPr>
        <w:t>s</w:t>
      </w:r>
      <w:r w:rsidR="00E12A2D" w:rsidRPr="00DA4925">
        <w:rPr>
          <w:rFonts w:ascii="Arial" w:hAnsi="Arial" w:cs="Arial"/>
          <w:lang w:val="en-GB"/>
        </w:rPr>
        <w:t>upport</w:t>
      </w:r>
      <w:r w:rsidR="00C441C4" w:rsidRPr="00DA4925">
        <w:rPr>
          <w:rFonts w:ascii="Arial" w:hAnsi="Arial" w:cs="Arial"/>
          <w:lang w:val="en-GB"/>
        </w:rPr>
        <w:t>,</w:t>
      </w:r>
      <w:r w:rsidR="00FF0D08" w:rsidRPr="00DA4925">
        <w:rPr>
          <w:rFonts w:ascii="Arial" w:hAnsi="Arial" w:cs="Arial"/>
          <w:lang w:val="en-GB"/>
        </w:rPr>
        <w:t xml:space="preserve"> and</w:t>
      </w:r>
      <w:r w:rsidR="00C9138E" w:rsidRPr="00DA4925">
        <w:rPr>
          <w:rFonts w:ascii="Arial" w:hAnsi="Arial" w:cs="Arial"/>
          <w:lang w:val="en-GB"/>
        </w:rPr>
        <w:t xml:space="preserve"> </w:t>
      </w:r>
      <w:r w:rsidRPr="00DA4925">
        <w:rPr>
          <w:rFonts w:ascii="Arial" w:hAnsi="Arial" w:cs="Arial"/>
          <w:lang w:val="en-GB"/>
        </w:rPr>
        <w:t>c</w:t>
      </w:r>
      <w:r w:rsidR="00C9138E" w:rsidRPr="00DA4925">
        <w:rPr>
          <w:rFonts w:ascii="Arial" w:hAnsi="Arial" w:cs="Arial"/>
          <w:lang w:val="en-GB"/>
        </w:rPr>
        <w:t xml:space="preserve">atering </w:t>
      </w:r>
      <w:r w:rsidRPr="00DA4925">
        <w:rPr>
          <w:rFonts w:ascii="Arial" w:hAnsi="Arial" w:cs="Arial"/>
          <w:lang w:val="en-GB"/>
        </w:rPr>
        <w:t>s</w:t>
      </w:r>
      <w:r w:rsidR="00C9138E" w:rsidRPr="00DA4925">
        <w:rPr>
          <w:rFonts w:ascii="Arial" w:hAnsi="Arial" w:cs="Arial"/>
          <w:lang w:val="en-GB"/>
        </w:rPr>
        <w:t>ervices support to a range of Council establishments</w:t>
      </w:r>
      <w:r w:rsidRPr="00DA4925">
        <w:rPr>
          <w:rFonts w:ascii="Arial" w:hAnsi="Arial" w:cs="Arial"/>
          <w:lang w:val="en-GB"/>
        </w:rPr>
        <w:t>,</w:t>
      </w:r>
      <w:r w:rsidR="00C9138E" w:rsidRPr="00DA4925">
        <w:rPr>
          <w:rFonts w:ascii="Arial" w:hAnsi="Arial" w:cs="Arial"/>
          <w:lang w:val="en-GB"/>
        </w:rPr>
        <w:t xml:space="preserve"> including all </w:t>
      </w:r>
      <w:r w:rsidRPr="00DA4925">
        <w:rPr>
          <w:rFonts w:ascii="Arial" w:hAnsi="Arial" w:cs="Arial"/>
          <w:lang w:val="en-GB"/>
        </w:rPr>
        <w:t>C</w:t>
      </w:r>
      <w:r w:rsidR="00C9138E" w:rsidRPr="00DA4925">
        <w:rPr>
          <w:rFonts w:ascii="Arial" w:hAnsi="Arial" w:cs="Arial"/>
          <w:lang w:val="en-GB"/>
        </w:rPr>
        <w:t xml:space="preserve">ouncil schools and nurseries.  </w:t>
      </w:r>
      <w:r w:rsidR="00232826" w:rsidRPr="00DA4925">
        <w:rPr>
          <w:rFonts w:ascii="Arial" w:hAnsi="Arial" w:cs="Arial"/>
          <w:lang w:val="en-GB"/>
        </w:rPr>
        <w:t xml:space="preserve">It has responsibility </w:t>
      </w:r>
      <w:r w:rsidR="00C9138E" w:rsidRPr="00DA4925">
        <w:rPr>
          <w:rFonts w:ascii="Arial" w:hAnsi="Arial" w:cs="Arial"/>
          <w:lang w:val="en-GB"/>
        </w:rPr>
        <w:t xml:space="preserve">for </w:t>
      </w:r>
      <w:r w:rsidR="00232826" w:rsidRPr="00DA4925">
        <w:rPr>
          <w:rFonts w:ascii="Arial" w:hAnsi="Arial" w:cs="Arial"/>
          <w:lang w:val="en-GB"/>
        </w:rPr>
        <w:t xml:space="preserve">the </w:t>
      </w:r>
      <w:r w:rsidR="00C9138E" w:rsidRPr="00DA4925">
        <w:rPr>
          <w:rFonts w:ascii="Arial" w:hAnsi="Arial" w:cs="Arial"/>
          <w:lang w:val="en-GB"/>
        </w:rPr>
        <w:t xml:space="preserve">management and operation of </w:t>
      </w:r>
      <w:r w:rsidR="00FF0D08" w:rsidRPr="00DA4925">
        <w:rPr>
          <w:rFonts w:ascii="Arial" w:hAnsi="Arial" w:cs="Arial"/>
          <w:lang w:val="en-GB"/>
        </w:rPr>
        <w:t xml:space="preserve">a number of </w:t>
      </w:r>
      <w:r w:rsidR="00C9138E" w:rsidRPr="00DA4925">
        <w:rPr>
          <w:rFonts w:ascii="Arial" w:hAnsi="Arial" w:cs="Arial"/>
          <w:lang w:val="en-GB"/>
        </w:rPr>
        <w:t>Council office</w:t>
      </w:r>
      <w:r w:rsidR="00FF0D08" w:rsidRPr="00DA4925">
        <w:rPr>
          <w:rFonts w:ascii="Arial" w:hAnsi="Arial" w:cs="Arial"/>
          <w:lang w:val="en-GB"/>
        </w:rPr>
        <w:t>s</w:t>
      </w:r>
      <w:r w:rsidR="00232826" w:rsidRPr="00DA4925">
        <w:rPr>
          <w:rFonts w:ascii="Arial" w:hAnsi="Arial" w:cs="Arial"/>
          <w:lang w:val="en-GB"/>
        </w:rPr>
        <w:t>,</w:t>
      </w:r>
      <w:r w:rsidR="00C9138E" w:rsidRPr="00DA4925">
        <w:rPr>
          <w:rFonts w:ascii="Arial" w:hAnsi="Arial" w:cs="Arial"/>
          <w:lang w:val="en-GB"/>
        </w:rPr>
        <w:t xml:space="preserve"> in addition to Dumbarton Municipa</w:t>
      </w:r>
      <w:r w:rsidR="00232826" w:rsidRPr="00DA4925">
        <w:rPr>
          <w:rFonts w:ascii="Arial" w:hAnsi="Arial" w:cs="Arial"/>
          <w:lang w:val="en-GB"/>
        </w:rPr>
        <w:t>l Buildings.</w:t>
      </w:r>
    </w:p>
    <w:p w:rsidR="00CE1D5D" w:rsidRPr="00DA4925" w:rsidRDefault="00CE1D5D" w:rsidP="00D1431A">
      <w:pPr>
        <w:spacing w:after="0" w:line="240" w:lineRule="auto"/>
        <w:rPr>
          <w:rFonts w:ascii="Arial" w:hAnsi="Arial" w:cs="Arial"/>
          <w:lang w:val="en-GB"/>
        </w:rPr>
      </w:pPr>
    </w:p>
    <w:p w:rsidR="0024130B" w:rsidRPr="00DA4925" w:rsidRDefault="00C9138E" w:rsidP="00D1431A">
      <w:pPr>
        <w:spacing w:after="0" w:line="240" w:lineRule="auto"/>
        <w:rPr>
          <w:rFonts w:ascii="Arial" w:hAnsi="Arial" w:cs="Arial"/>
          <w:lang w:val="en-GB"/>
        </w:rPr>
      </w:pPr>
      <w:r w:rsidRPr="00DA4925">
        <w:rPr>
          <w:rFonts w:ascii="Arial" w:hAnsi="Arial" w:cs="Arial"/>
          <w:lang w:val="en-GB"/>
        </w:rPr>
        <w:t>The service also includes a client liaison link between the Council and West</w:t>
      </w:r>
      <w:r w:rsidR="0024130B" w:rsidRPr="00DA4925">
        <w:rPr>
          <w:rFonts w:ascii="Arial" w:hAnsi="Arial" w:cs="Arial"/>
          <w:lang w:val="en-GB"/>
        </w:rPr>
        <w:t xml:space="preserve"> Dunbartonshire Leisure Trust.</w:t>
      </w:r>
      <w:r w:rsidR="00C441C4" w:rsidRPr="00DA4925">
        <w:rPr>
          <w:rFonts w:ascii="Arial" w:hAnsi="Arial" w:cs="Arial"/>
          <w:lang w:val="en-GB"/>
        </w:rPr>
        <w:t xml:space="preserve"> It </w:t>
      </w:r>
      <w:r w:rsidRPr="00DA4925">
        <w:rPr>
          <w:rFonts w:ascii="Arial" w:hAnsi="Arial" w:cs="Arial"/>
          <w:lang w:val="en-GB"/>
        </w:rPr>
        <w:t>has performance monitoring responsibility for the Leisure Trust as it delivers a range of services on behalf of the Council</w:t>
      </w:r>
      <w:r w:rsidR="00C441C4" w:rsidRPr="00DA4925">
        <w:rPr>
          <w:rFonts w:ascii="Arial" w:hAnsi="Arial" w:cs="Arial"/>
          <w:lang w:val="en-GB"/>
        </w:rPr>
        <w:t>,</w:t>
      </w:r>
      <w:r w:rsidRPr="00DA4925">
        <w:rPr>
          <w:rFonts w:ascii="Arial" w:hAnsi="Arial" w:cs="Arial"/>
          <w:lang w:val="en-GB"/>
        </w:rPr>
        <w:t xml:space="preserve"> including the Council’s annual events programme.</w:t>
      </w:r>
    </w:p>
    <w:p w:rsidR="0024130B" w:rsidRPr="00DA4925" w:rsidRDefault="0024130B" w:rsidP="00D1431A">
      <w:pPr>
        <w:spacing w:after="0" w:line="240" w:lineRule="auto"/>
        <w:rPr>
          <w:rFonts w:ascii="Arial" w:hAnsi="Arial" w:cs="Arial"/>
          <w:lang w:val="en-GB"/>
        </w:rPr>
      </w:pPr>
    </w:p>
    <w:p w:rsidR="00C9138E" w:rsidRPr="00DA4925" w:rsidRDefault="00FF0D08" w:rsidP="00D1431A">
      <w:pPr>
        <w:spacing w:after="0" w:line="240" w:lineRule="auto"/>
        <w:rPr>
          <w:rFonts w:ascii="Arial" w:hAnsi="Arial" w:cs="Arial"/>
          <w:lang w:val="en-GB"/>
        </w:rPr>
      </w:pPr>
      <w:r w:rsidRPr="00DA4925">
        <w:rPr>
          <w:rFonts w:ascii="Arial" w:hAnsi="Arial" w:cs="Arial"/>
          <w:lang w:val="en-GB"/>
        </w:rPr>
        <w:t>The Building Cleaning</w:t>
      </w:r>
      <w:r w:rsidR="00E0448E" w:rsidRPr="00DA4925">
        <w:rPr>
          <w:rFonts w:ascii="Arial" w:hAnsi="Arial" w:cs="Arial"/>
          <w:lang w:val="en-GB"/>
        </w:rPr>
        <w:t xml:space="preserve"> service </w:t>
      </w:r>
      <w:r w:rsidR="00C441C4" w:rsidRPr="00DA4925">
        <w:rPr>
          <w:rFonts w:ascii="Arial" w:hAnsi="Arial" w:cs="Arial"/>
          <w:lang w:val="en-GB"/>
        </w:rPr>
        <w:t>provides</w:t>
      </w:r>
      <w:r w:rsidR="00E0448E" w:rsidRPr="00DA4925">
        <w:rPr>
          <w:rFonts w:ascii="Arial" w:hAnsi="Arial" w:cs="Arial"/>
          <w:lang w:val="en-GB"/>
        </w:rPr>
        <w:t xml:space="preserve"> a cleaning service to all Council buildings and has recent</w:t>
      </w:r>
      <w:r w:rsidR="00C441C4" w:rsidRPr="00DA4925">
        <w:rPr>
          <w:rFonts w:ascii="Arial" w:hAnsi="Arial" w:cs="Arial"/>
          <w:lang w:val="en-GB"/>
        </w:rPr>
        <w:t>ly</w:t>
      </w:r>
      <w:r w:rsidR="00E0448E" w:rsidRPr="00DA4925">
        <w:rPr>
          <w:rFonts w:ascii="Arial" w:hAnsi="Arial" w:cs="Arial"/>
          <w:lang w:val="en-GB"/>
        </w:rPr>
        <w:t xml:space="preserve"> been recognised by APSE for being a most improved performer.</w:t>
      </w:r>
    </w:p>
    <w:p w:rsidR="00C9138E" w:rsidRPr="00DA4925" w:rsidRDefault="00C9138E" w:rsidP="00D1431A">
      <w:pPr>
        <w:spacing w:after="0" w:line="240" w:lineRule="auto"/>
        <w:rPr>
          <w:rFonts w:ascii="Arial" w:hAnsi="Arial" w:cs="Arial"/>
          <w:b/>
          <w:highlight w:val="yellow"/>
        </w:rPr>
      </w:pPr>
    </w:p>
    <w:p w:rsidR="000C5485" w:rsidRPr="00DA4925" w:rsidRDefault="00DF7028" w:rsidP="00D1431A">
      <w:pPr>
        <w:spacing w:after="0" w:line="240" w:lineRule="auto"/>
        <w:rPr>
          <w:rFonts w:ascii="Arial" w:hAnsi="Arial" w:cs="Arial"/>
          <w:b/>
        </w:rPr>
      </w:pPr>
      <w:r w:rsidRPr="00DA4925">
        <w:rPr>
          <w:rFonts w:ascii="Arial" w:hAnsi="Arial" w:cs="Arial"/>
          <w:b/>
        </w:rPr>
        <w:t>Capital Projects</w:t>
      </w:r>
    </w:p>
    <w:p w:rsidR="00DF7028" w:rsidRPr="00DA4925" w:rsidRDefault="00DF7028" w:rsidP="00D1431A">
      <w:pPr>
        <w:spacing w:after="0" w:line="240" w:lineRule="auto"/>
        <w:rPr>
          <w:rFonts w:ascii="Arial" w:hAnsi="Arial" w:cs="Arial"/>
        </w:rPr>
      </w:pPr>
    </w:p>
    <w:p w:rsidR="000B2C75" w:rsidRPr="00DA4925" w:rsidRDefault="00E0448E" w:rsidP="00D1431A">
      <w:pPr>
        <w:spacing w:after="0" w:line="240" w:lineRule="auto"/>
        <w:rPr>
          <w:rFonts w:ascii="Arial" w:hAnsi="Arial" w:cs="Arial"/>
        </w:rPr>
      </w:pPr>
      <w:r w:rsidRPr="00DA4925">
        <w:rPr>
          <w:rFonts w:ascii="Arial" w:hAnsi="Arial" w:cs="Arial"/>
        </w:rPr>
        <w:t xml:space="preserve">All of the above services have responsibility for major capital projects ranging from </w:t>
      </w:r>
      <w:r w:rsidR="00C441C4" w:rsidRPr="00DA4925">
        <w:rPr>
          <w:rFonts w:ascii="Arial" w:hAnsi="Arial" w:cs="Arial"/>
        </w:rPr>
        <w:t xml:space="preserve">the </w:t>
      </w:r>
      <w:r w:rsidRPr="00DA4925">
        <w:rPr>
          <w:rFonts w:ascii="Arial" w:hAnsi="Arial" w:cs="Arial"/>
        </w:rPr>
        <w:t xml:space="preserve">construction of </w:t>
      </w:r>
      <w:r w:rsidR="00C441C4" w:rsidRPr="00DA4925">
        <w:rPr>
          <w:rFonts w:ascii="Arial" w:hAnsi="Arial" w:cs="Arial"/>
        </w:rPr>
        <w:t xml:space="preserve">the </w:t>
      </w:r>
      <w:r w:rsidRPr="00DA4925">
        <w:rPr>
          <w:rFonts w:ascii="Arial" w:hAnsi="Arial" w:cs="Arial"/>
        </w:rPr>
        <w:t>new Clydebank Leisure Centre, energy efficient street lighting, vehicle replacement</w:t>
      </w:r>
      <w:r w:rsidRPr="00E17F53">
        <w:rPr>
          <w:rFonts w:ascii="Arial" w:hAnsi="Arial" w:cs="Arial"/>
          <w:lang w:val="en-GB"/>
        </w:rPr>
        <w:t xml:space="preserve"> progr</w:t>
      </w:r>
      <w:r w:rsidR="00DF7028" w:rsidRPr="00E17F53">
        <w:rPr>
          <w:rFonts w:ascii="Arial" w:hAnsi="Arial" w:cs="Arial"/>
          <w:lang w:val="en-GB"/>
        </w:rPr>
        <w:t>amme</w:t>
      </w:r>
      <w:r w:rsidR="00DF7028" w:rsidRPr="00DA4925">
        <w:rPr>
          <w:rFonts w:ascii="Arial" w:hAnsi="Arial" w:cs="Arial"/>
        </w:rPr>
        <w:t xml:space="preserve"> and 3G pitch constructions.</w:t>
      </w:r>
      <w:r w:rsidR="000B2C75" w:rsidRPr="00DA4925">
        <w:rPr>
          <w:sz w:val="28"/>
          <w:szCs w:val="28"/>
        </w:rPr>
        <w:br w:type="page"/>
      </w:r>
    </w:p>
    <w:p w:rsidR="00D1431A" w:rsidRPr="00DA4925" w:rsidRDefault="00D1431A" w:rsidP="00064C8C">
      <w:pPr>
        <w:pStyle w:val="TOC1"/>
        <w:pBdr>
          <w:top w:val="single" w:sz="4" w:space="1" w:color="auto"/>
          <w:left w:val="single" w:sz="4" w:space="4" w:color="auto"/>
          <w:bottom w:val="single" w:sz="4" w:space="1" w:color="auto"/>
          <w:right w:val="single" w:sz="4" w:space="4" w:color="auto"/>
        </w:pBdr>
        <w:rPr>
          <w:color w:val="auto"/>
        </w:rPr>
      </w:pPr>
      <w:r w:rsidRPr="00DA4925">
        <w:rPr>
          <w:color w:val="auto"/>
        </w:rPr>
        <w:lastRenderedPageBreak/>
        <w:t>2</w:t>
      </w:r>
      <w:r w:rsidRPr="00DA4925">
        <w:rPr>
          <w:color w:val="auto"/>
        </w:rPr>
        <w:tab/>
      </w:r>
      <w:r w:rsidR="00870127" w:rsidRPr="00DA4925">
        <w:rPr>
          <w:color w:val="auto"/>
        </w:rPr>
        <w:t xml:space="preserve">Performance Review and </w:t>
      </w:r>
      <w:r w:rsidRPr="00DA4925">
        <w:rPr>
          <w:color w:val="auto"/>
        </w:rPr>
        <w:t>Strategic Assessment</w:t>
      </w:r>
    </w:p>
    <w:p w:rsidR="00E50AF4" w:rsidRPr="00DA4925" w:rsidRDefault="00E50AF4" w:rsidP="00D1431A">
      <w:pPr>
        <w:spacing w:after="0" w:line="240" w:lineRule="auto"/>
        <w:rPr>
          <w:rFonts w:ascii="Arial" w:hAnsi="Arial" w:cs="Arial"/>
          <w:highlight w:val="yellow"/>
        </w:rPr>
      </w:pPr>
    </w:p>
    <w:p w:rsidR="00D1431A" w:rsidRPr="00DA4925" w:rsidRDefault="00DF1B8A" w:rsidP="00D1431A">
      <w:pPr>
        <w:spacing w:after="0" w:line="240" w:lineRule="auto"/>
        <w:rPr>
          <w:rFonts w:ascii="Arial" w:hAnsi="Arial" w:cs="Arial"/>
          <w:lang w:val="en-GB"/>
        </w:rPr>
      </w:pPr>
      <w:r w:rsidRPr="00DA4925">
        <w:rPr>
          <w:rFonts w:ascii="Arial" w:hAnsi="Arial" w:cs="Arial"/>
          <w:lang w:val="en-GB"/>
        </w:rPr>
        <w:t xml:space="preserve">The Environment </w:t>
      </w:r>
      <w:r w:rsidR="00B8391F" w:rsidRPr="00DA4925">
        <w:rPr>
          <w:rFonts w:ascii="Arial" w:hAnsi="Arial" w:cs="Arial"/>
          <w:lang w:val="en-GB"/>
        </w:rPr>
        <w:t>and</w:t>
      </w:r>
      <w:r w:rsidRPr="00DA4925">
        <w:rPr>
          <w:rFonts w:ascii="Arial" w:hAnsi="Arial" w:cs="Arial"/>
          <w:lang w:val="en-GB"/>
        </w:rPr>
        <w:t xml:space="preserve"> Neighbourhood management team completed a detailed performance review and strategic assessment to determine the major influences on priorities and service delivery in 2017/18 and beyond. </w:t>
      </w:r>
      <w:r w:rsidR="00D1431A" w:rsidRPr="00DA4925">
        <w:rPr>
          <w:rFonts w:ascii="Arial" w:hAnsi="Arial" w:cs="Arial"/>
          <w:lang w:val="en-GB"/>
        </w:rPr>
        <w:t>The issues identified have informed the action plan (Appendix 2) and resource allocation for 2017/18.</w:t>
      </w:r>
    </w:p>
    <w:p w:rsidR="00D1431A" w:rsidRPr="00DA4925" w:rsidRDefault="00D1431A" w:rsidP="00D1431A">
      <w:pPr>
        <w:spacing w:after="0" w:line="240" w:lineRule="auto"/>
        <w:rPr>
          <w:rFonts w:ascii="Arial" w:hAnsi="Arial" w:cs="Arial"/>
          <w:b/>
          <w:lang w:val="en-GB"/>
        </w:rPr>
      </w:pPr>
    </w:p>
    <w:p w:rsidR="00D1431A" w:rsidRPr="00DA4925" w:rsidRDefault="00D1431A" w:rsidP="009F4EF9">
      <w:pPr>
        <w:spacing w:after="0" w:line="240" w:lineRule="auto"/>
        <w:rPr>
          <w:rFonts w:ascii="Arial" w:hAnsi="Arial" w:cs="Arial"/>
          <w:b/>
          <w:lang w:val="en-GB"/>
        </w:rPr>
      </w:pPr>
      <w:r w:rsidRPr="00DA4925">
        <w:rPr>
          <w:rFonts w:ascii="Arial" w:hAnsi="Arial" w:cs="Arial"/>
          <w:b/>
          <w:lang w:val="en-GB"/>
        </w:rPr>
        <w:t>PERFORMANCE REVIEW</w:t>
      </w:r>
    </w:p>
    <w:p w:rsidR="00D1431A" w:rsidRPr="00DA4925" w:rsidRDefault="00D1431A" w:rsidP="009F4EF9">
      <w:pPr>
        <w:pStyle w:val="ListParagraph"/>
        <w:ind w:left="0"/>
        <w:rPr>
          <w:rFonts w:ascii="Arial" w:hAnsi="Arial" w:cs="Arial"/>
          <w:b/>
          <w:sz w:val="22"/>
          <w:szCs w:val="22"/>
        </w:rPr>
      </w:pPr>
    </w:p>
    <w:p w:rsidR="00D1431A" w:rsidRPr="00DA4925" w:rsidRDefault="00D1431A" w:rsidP="009F4EF9">
      <w:pPr>
        <w:pStyle w:val="ListParagraph"/>
        <w:ind w:left="0"/>
        <w:rPr>
          <w:rFonts w:ascii="Arial" w:hAnsi="Arial" w:cs="Arial"/>
          <w:b/>
          <w:sz w:val="22"/>
          <w:szCs w:val="22"/>
          <w:u w:val="single"/>
        </w:rPr>
      </w:pPr>
      <w:r w:rsidRPr="00DA4925">
        <w:rPr>
          <w:rFonts w:ascii="Arial" w:hAnsi="Arial" w:cs="Arial"/>
          <w:b/>
          <w:sz w:val="22"/>
          <w:szCs w:val="22"/>
          <w:u w:val="single"/>
        </w:rPr>
        <w:t>Key Achievements</w:t>
      </w:r>
    </w:p>
    <w:p w:rsidR="00D1431A" w:rsidRPr="00DA4925" w:rsidRDefault="00D1431A" w:rsidP="009F4EF9">
      <w:pPr>
        <w:pStyle w:val="ListParagraph"/>
        <w:ind w:left="0"/>
        <w:rPr>
          <w:rFonts w:ascii="Arial" w:hAnsi="Arial" w:cs="Arial"/>
          <w:sz w:val="22"/>
          <w:szCs w:val="22"/>
        </w:rPr>
      </w:pPr>
    </w:p>
    <w:p w:rsidR="00D1431A" w:rsidRPr="00DA4925" w:rsidRDefault="00D1431A" w:rsidP="009F4EF9">
      <w:pPr>
        <w:pStyle w:val="ListParagraph"/>
        <w:ind w:left="0"/>
        <w:rPr>
          <w:rFonts w:ascii="Arial" w:hAnsi="Arial" w:cs="Arial"/>
          <w:sz w:val="22"/>
          <w:szCs w:val="22"/>
        </w:rPr>
      </w:pPr>
      <w:r w:rsidRPr="00DA4925">
        <w:rPr>
          <w:rFonts w:ascii="Arial" w:hAnsi="Arial" w:cs="Arial"/>
          <w:sz w:val="22"/>
          <w:szCs w:val="22"/>
        </w:rPr>
        <w:t>Following a comprehensive review of performance, the management team identified a number of key achievements that were delivered on behalf of the Council in 2016/17.</w:t>
      </w:r>
    </w:p>
    <w:p w:rsidR="00D1431A" w:rsidRPr="00DA4925" w:rsidRDefault="00D1431A" w:rsidP="009F4EF9">
      <w:pPr>
        <w:spacing w:after="0" w:line="240" w:lineRule="auto"/>
        <w:rPr>
          <w:rFonts w:ascii="Arial" w:hAnsi="Arial" w:cs="Arial"/>
        </w:rPr>
      </w:pPr>
    </w:p>
    <w:p w:rsidR="000B2C75" w:rsidRPr="00DA4925" w:rsidRDefault="000B2C75" w:rsidP="009F4EF9">
      <w:pPr>
        <w:spacing w:after="0" w:line="240" w:lineRule="auto"/>
        <w:rPr>
          <w:rFonts w:ascii="Arial" w:hAnsi="Arial" w:cs="Arial"/>
          <w:b/>
          <w:bCs/>
        </w:rPr>
      </w:pPr>
      <w:r w:rsidRPr="00DA4925">
        <w:rPr>
          <w:rFonts w:ascii="Arial" w:hAnsi="Arial" w:cs="Arial"/>
          <w:b/>
          <w:bCs/>
        </w:rPr>
        <w:t>Roads and Transportation</w:t>
      </w:r>
    </w:p>
    <w:p w:rsidR="000B2C75" w:rsidRPr="00DA4925" w:rsidRDefault="000B2C75" w:rsidP="009F4EF9">
      <w:pPr>
        <w:spacing w:after="0" w:line="240" w:lineRule="auto"/>
        <w:rPr>
          <w:rFonts w:ascii="Arial" w:hAnsi="Arial" w:cs="Arial"/>
          <w:b/>
          <w:bCs/>
        </w:rPr>
      </w:pPr>
    </w:p>
    <w:p w:rsidR="000B2C75" w:rsidRPr="00DA4925" w:rsidRDefault="000B2C75" w:rsidP="0019210F">
      <w:pPr>
        <w:pStyle w:val="ListParagraph"/>
        <w:numPr>
          <w:ilvl w:val="0"/>
          <w:numId w:val="6"/>
        </w:numPr>
        <w:contextualSpacing w:val="0"/>
        <w:rPr>
          <w:rFonts w:ascii="Arial" w:hAnsi="Arial" w:cs="Arial"/>
          <w:b/>
          <w:bCs/>
          <w:sz w:val="22"/>
          <w:szCs w:val="22"/>
          <w:lang w:val="en-US"/>
        </w:rPr>
      </w:pPr>
      <w:r w:rsidRPr="00DA4925">
        <w:rPr>
          <w:rFonts w:ascii="Arial" w:hAnsi="Arial" w:cs="Arial"/>
          <w:sz w:val="22"/>
          <w:szCs w:val="22"/>
          <w:lang w:val="en-US"/>
        </w:rPr>
        <w:t>Successfully secured £2</w:t>
      </w:r>
      <w:r w:rsidR="00C441C4" w:rsidRPr="00DA4925">
        <w:rPr>
          <w:rFonts w:ascii="Arial" w:hAnsi="Arial" w:cs="Arial"/>
          <w:sz w:val="22"/>
          <w:szCs w:val="22"/>
          <w:lang w:val="en-US"/>
        </w:rPr>
        <w:t>m</w:t>
      </w:r>
      <w:r w:rsidRPr="00DA4925">
        <w:rPr>
          <w:rFonts w:ascii="Arial" w:hAnsi="Arial" w:cs="Arial"/>
          <w:sz w:val="22"/>
          <w:szCs w:val="22"/>
          <w:lang w:val="en-US"/>
        </w:rPr>
        <w:t xml:space="preserve"> in external partner funding for our Clydebank Place-making project (about improving the A814), in collaboration with our colleagues in Regeneration.</w:t>
      </w:r>
    </w:p>
    <w:p w:rsidR="000B2C75" w:rsidRPr="00DA4925" w:rsidRDefault="000B2C75" w:rsidP="0019210F">
      <w:pPr>
        <w:pStyle w:val="ListParagraph"/>
        <w:numPr>
          <w:ilvl w:val="0"/>
          <w:numId w:val="6"/>
        </w:numPr>
        <w:contextualSpacing w:val="0"/>
        <w:rPr>
          <w:rFonts w:ascii="Arial" w:hAnsi="Arial" w:cs="Arial"/>
          <w:b/>
          <w:bCs/>
          <w:sz w:val="22"/>
          <w:szCs w:val="22"/>
          <w:lang w:val="en-US"/>
        </w:rPr>
      </w:pPr>
      <w:r w:rsidRPr="00DA4925">
        <w:rPr>
          <w:rFonts w:ascii="Arial" w:hAnsi="Arial" w:cs="Arial"/>
          <w:sz w:val="22"/>
          <w:szCs w:val="22"/>
          <w:lang w:val="en-US"/>
        </w:rPr>
        <w:t>Secured £245</w:t>
      </w:r>
      <w:r w:rsidR="00C441C4" w:rsidRPr="00DA4925">
        <w:rPr>
          <w:rFonts w:ascii="Arial" w:hAnsi="Arial" w:cs="Arial"/>
          <w:sz w:val="22"/>
          <w:szCs w:val="22"/>
          <w:lang w:val="en-US"/>
        </w:rPr>
        <w:t>k</w:t>
      </w:r>
      <w:r w:rsidRPr="00DA4925">
        <w:rPr>
          <w:rFonts w:ascii="Arial" w:hAnsi="Arial" w:cs="Arial"/>
          <w:sz w:val="22"/>
          <w:szCs w:val="22"/>
          <w:lang w:val="en-US"/>
        </w:rPr>
        <w:t xml:space="preserve"> from SPT for improving access to public transport and active travel. </w:t>
      </w:r>
    </w:p>
    <w:p w:rsidR="000B2C75" w:rsidRPr="00DA4925" w:rsidRDefault="000B2C75" w:rsidP="0019210F">
      <w:pPr>
        <w:pStyle w:val="ListParagraph"/>
        <w:numPr>
          <w:ilvl w:val="0"/>
          <w:numId w:val="6"/>
        </w:numPr>
        <w:contextualSpacing w:val="0"/>
        <w:rPr>
          <w:rFonts w:ascii="Arial" w:hAnsi="Arial" w:cs="Arial"/>
          <w:b/>
          <w:bCs/>
          <w:sz w:val="22"/>
          <w:szCs w:val="22"/>
          <w:lang w:val="en-US"/>
        </w:rPr>
      </w:pPr>
      <w:r w:rsidRPr="00DA4925">
        <w:rPr>
          <w:rFonts w:ascii="Arial" w:hAnsi="Arial" w:cs="Arial"/>
          <w:sz w:val="22"/>
          <w:szCs w:val="22"/>
          <w:lang w:val="en-US"/>
        </w:rPr>
        <w:t>Implemented a successful trial of an innovative surfacing technology which will deliver a 40% increase in carriageway area treated for a cost comparable for conventional surfacing.</w:t>
      </w:r>
    </w:p>
    <w:p w:rsidR="000B2C75" w:rsidRPr="00DA4925" w:rsidRDefault="000B2C75" w:rsidP="0019210F">
      <w:pPr>
        <w:pStyle w:val="ListParagraph"/>
        <w:numPr>
          <w:ilvl w:val="0"/>
          <w:numId w:val="6"/>
        </w:numPr>
        <w:contextualSpacing w:val="0"/>
        <w:rPr>
          <w:rFonts w:ascii="Arial" w:hAnsi="Arial" w:cs="Arial"/>
          <w:b/>
          <w:bCs/>
          <w:sz w:val="22"/>
          <w:szCs w:val="22"/>
          <w:lang w:val="en-US"/>
        </w:rPr>
      </w:pPr>
      <w:r w:rsidRPr="00DA4925">
        <w:rPr>
          <w:rFonts w:ascii="Arial" w:hAnsi="Arial" w:cs="Arial"/>
          <w:sz w:val="22"/>
          <w:szCs w:val="22"/>
          <w:lang w:val="en-US"/>
        </w:rPr>
        <w:t>Completed initial option appraisal for the Gruggies Burn Flood Prevention Scheme.</w:t>
      </w:r>
    </w:p>
    <w:p w:rsidR="000B2C75" w:rsidRPr="00DA4925" w:rsidRDefault="000B2C75" w:rsidP="0019210F">
      <w:pPr>
        <w:pStyle w:val="ListParagraph"/>
        <w:numPr>
          <w:ilvl w:val="0"/>
          <w:numId w:val="6"/>
        </w:numPr>
        <w:contextualSpacing w:val="0"/>
        <w:rPr>
          <w:rFonts w:ascii="Arial" w:hAnsi="Arial" w:cs="Arial"/>
          <w:b/>
          <w:bCs/>
          <w:sz w:val="22"/>
          <w:szCs w:val="22"/>
          <w:lang w:val="en-US"/>
        </w:rPr>
      </w:pPr>
      <w:r w:rsidRPr="00DA4925">
        <w:rPr>
          <w:rFonts w:ascii="Arial" w:hAnsi="Arial" w:cs="Arial"/>
          <w:sz w:val="22"/>
          <w:szCs w:val="22"/>
          <w:lang w:val="en-US"/>
        </w:rPr>
        <w:t>Completed the Roads Capital programme on time and on budget.</w:t>
      </w:r>
    </w:p>
    <w:p w:rsidR="000B2C75" w:rsidRPr="00DA4925" w:rsidRDefault="000B2C75" w:rsidP="0019210F">
      <w:pPr>
        <w:pStyle w:val="ListParagraph"/>
        <w:numPr>
          <w:ilvl w:val="0"/>
          <w:numId w:val="6"/>
        </w:numPr>
        <w:contextualSpacing w:val="0"/>
        <w:rPr>
          <w:rFonts w:ascii="Arial" w:hAnsi="Arial" w:cs="Arial"/>
          <w:b/>
          <w:sz w:val="22"/>
          <w:szCs w:val="22"/>
        </w:rPr>
      </w:pPr>
      <w:r w:rsidRPr="00DA4925">
        <w:rPr>
          <w:rFonts w:ascii="Arial" w:hAnsi="Arial" w:cs="Arial"/>
          <w:sz w:val="22"/>
          <w:szCs w:val="22"/>
          <w:lang w:val="en-US"/>
        </w:rPr>
        <w:t xml:space="preserve">Achieved an improvement </w:t>
      </w:r>
      <w:r w:rsidR="00C441C4" w:rsidRPr="00DA4925">
        <w:rPr>
          <w:rFonts w:ascii="Arial" w:hAnsi="Arial" w:cs="Arial"/>
          <w:sz w:val="22"/>
          <w:szCs w:val="22"/>
          <w:lang w:val="en-US"/>
        </w:rPr>
        <w:t>in</w:t>
      </w:r>
      <w:r w:rsidRPr="00DA4925">
        <w:rPr>
          <w:rFonts w:ascii="Arial" w:hAnsi="Arial" w:cs="Arial"/>
          <w:sz w:val="22"/>
          <w:szCs w:val="22"/>
          <w:lang w:val="en-US"/>
        </w:rPr>
        <w:t xml:space="preserve"> our Road Condition </w:t>
      </w:r>
      <w:r w:rsidR="00C441C4" w:rsidRPr="00DA4925">
        <w:rPr>
          <w:rFonts w:ascii="Arial" w:hAnsi="Arial" w:cs="Arial"/>
          <w:sz w:val="22"/>
          <w:szCs w:val="22"/>
          <w:lang w:val="en-US"/>
        </w:rPr>
        <w:t>performance i</w:t>
      </w:r>
      <w:r w:rsidRPr="00DA4925">
        <w:rPr>
          <w:rFonts w:ascii="Arial" w:hAnsi="Arial" w:cs="Arial"/>
          <w:sz w:val="22"/>
          <w:szCs w:val="22"/>
          <w:lang w:val="en-US"/>
        </w:rPr>
        <w:t>ndicator</w:t>
      </w:r>
      <w:r w:rsidR="00C441C4" w:rsidRPr="00DA4925">
        <w:rPr>
          <w:rFonts w:ascii="Arial" w:hAnsi="Arial" w:cs="Arial"/>
          <w:sz w:val="22"/>
          <w:szCs w:val="22"/>
          <w:lang w:val="en-US"/>
        </w:rPr>
        <w:t>.</w:t>
      </w:r>
    </w:p>
    <w:p w:rsidR="00C441C4" w:rsidRPr="00DA4925" w:rsidRDefault="00C441C4" w:rsidP="009F4EF9">
      <w:pPr>
        <w:pStyle w:val="ListParagraph"/>
        <w:ind w:left="0"/>
        <w:rPr>
          <w:rFonts w:ascii="Arial" w:hAnsi="Arial" w:cs="Arial"/>
          <w:b/>
          <w:sz w:val="22"/>
          <w:szCs w:val="22"/>
        </w:rPr>
      </w:pPr>
    </w:p>
    <w:p w:rsidR="000B2C75" w:rsidRPr="00DA4925" w:rsidRDefault="000B2C75" w:rsidP="009F4EF9">
      <w:pPr>
        <w:pStyle w:val="ListParagraph"/>
        <w:ind w:left="0"/>
        <w:rPr>
          <w:rFonts w:ascii="Arial" w:hAnsi="Arial" w:cs="Arial"/>
          <w:b/>
          <w:sz w:val="22"/>
          <w:szCs w:val="22"/>
        </w:rPr>
      </w:pPr>
      <w:r w:rsidRPr="00DA4925">
        <w:rPr>
          <w:rFonts w:ascii="Arial" w:hAnsi="Arial" w:cs="Arial"/>
          <w:b/>
          <w:sz w:val="22"/>
          <w:szCs w:val="22"/>
        </w:rPr>
        <w:t>Fleet and Waste</w:t>
      </w:r>
    </w:p>
    <w:p w:rsidR="000B2C75" w:rsidRPr="00DA4925" w:rsidRDefault="000B2C75" w:rsidP="009F4EF9">
      <w:pPr>
        <w:pStyle w:val="ListParagraph"/>
        <w:ind w:left="0"/>
        <w:rPr>
          <w:rFonts w:ascii="Arial" w:hAnsi="Arial" w:cs="Arial"/>
          <w:b/>
          <w:sz w:val="22"/>
          <w:szCs w:val="22"/>
        </w:rPr>
      </w:pPr>
    </w:p>
    <w:p w:rsidR="000B2C75" w:rsidRPr="00DA4925" w:rsidRDefault="000B2C75" w:rsidP="0019210F">
      <w:pPr>
        <w:numPr>
          <w:ilvl w:val="0"/>
          <w:numId w:val="1"/>
        </w:numPr>
        <w:tabs>
          <w:tab w:val="clear" w:pos="436"/>
          <w:tab w:val="left" w:pos="0"/>
        </w:tabs>
        <w:spacing w:after="0" w:line="240" w:lineRule="auto"/>
        <w:ind w:left="426" w:hanging="426"/>
        <w:rPr>
          <w:rFonts w:ascii="Arial" w:hAnsi="Arial" w:cs="Arial"/>
        </w:rPr>
      </w:pPr>
      <w:r w:rsidRPr="00DA4925">
        <w:rPr>
          <w:rFonts w:ascii="Arial" w:hAnsi="Arial" w:cs="Arial"/>
        </w:rPr>
        <w:t>Implemented the 2016/17 vehicle replacement/capital investment programme, ensuring that the Council’s vehicle fleet continually remains fit for purpose.</w:t>
      </w:r>
    </w:p>
    <w:p w:rsidR="000B2C75" w:rsidRPr="00DA4925" w:rsidRDefault="000B2C75" w:rsidP="0019210F">
      <w:pPr>
        <w:numPr>
          <w:ilvl w:val="0"/>
          <w:numId w:val="1"/>
        </w:numPr>
        <w:tabs>
          <w:tab w:val="clear" w:pos="436"/>
          <w:tab w:val="left" w:pos="0"/>
        </w:tabs>
        <w:spacing w:after="0" w:line="240" w:lineRule="auto"/>
        <w:ind w:left="426" w:hanging="426"/>
        <w:rPr>
          <w:rFonts w:ascii="Arial" w:hAnsi="Arial" w:cs="Arial"/>
        </w:rPr>
      </w:pPr>
      <w:r w:rsidRPr="00DA4925">
        <w:rPr>
          <w:rFonts w:ascii="Arial" w:hAnsi="Arial" w:cs="Arial"/>
        </w:rPr>
        <w:t>Secured £1.4</w:t>
      </w:r>
      <w:r w:rsidR="00C441C4" w:rsidRPr="00DA4925">
        <w:rPr>
          <w:rFonts w:ascii="Arial" w:hAnsi="Arial" w:cs="Arial"/>
        </w:rPr>
        <w:t>m</w:t>
      </w:r>
      <w:r w:rsidRPr="00DA4925">
        <w:rPr>
          <w:rFonts w:ascii="Arial" w:hAnsi="Arial" w:cs="Arial"/>
        </w:rPr>
        <w:t xml:space="preserve"> capital funding to replace 110 long term hire vehicles with purchased/owned vehicles that will result in a reduction</w:t>
      </w:r>
      <w:r w:rsidR="00C441C4" w:rsidRPr="00DA4925">
        <w:rPr>
          <w:rFonts w:ascii="Arial" w:hAnsi="Arial" w:cs="Arial"/>
        </w:rPr>
        <w:t xml:space="preserve"> in revenue expenditure of £200k</w:t>
      </w:r>
      <w:r w:rsidRPr="00DA4925">
        <w:rPr>
          <w:rFonts w:ascii="Arial" w:hAnsi="Arial" w:cs="Arial"/>
        </w:rPr>
        <w:t xml:space="preserve"> per annum.</w:t>
      </w:r>
    </w:p>
    <w:p w:rsidR="000B2C75" w:rsidRPr="00DA4925" w:rsidRDefault="000B2C75" w:rsidP="0019210F">
      <w:pPr>
        <w:numPr>
          <w:ilvl w:val="0"/>
          <w:numId w:val="1"/>
        </w:numPr>
        <w:tabs>
          <w:tab w:val="clear" w:pos="436"/>
          <w:tab w:val="left" w:pos="0"/>
        </w:tabs>
        <w:spacing w:after="0" w:line="240" w:lineRule="auto"/>
        <w:ind w:left="426" w:hanging="426"/>
        <w:rPr>
          <w:rFonts w:ascii="Arial" w:hAnsi="Arial" w:cs="Arial"/>
        </w:rPr>
      </w:pPr>
      <w:r w:rsidRPr="00DA4925">
        <w:rPr>
          <w:rFonts w:ascii="Arial" w:hAnsi="Arial" w:cs="Arial"/>
        </w:rPr>
        <w:t>Procured 10 all electric pool cars for the use of staff based at the Aurora House administrative</w:t>
      </w:r>
      <w:r w:rsidRPr="00E17F53">
        <w:rPr>
          <w:rFonts w:ascii="Arial" w:hAnsi="Arial" w:cs="Arial"/>
          <w:lang w:val="en-GB"/>
        </w:rPr>
        <w:t xml:space="preserve"> centre</w:t>
      </w:r>
      <w:r w:rsidRPr="00DA4925">
        <w:rPr>
          <w:rFonts w:ascii="Arial" w:hAnsi="Arial" w:cs="Arial"/>
        </w:rPr>
        <w:t>.</w:t>
      </w:r>
    </w:p>
    <w:p w:rsidR="000B2C75" w:rsidRPr="00DA4925" w:rsidRDefault="000B2C75" w:rsidP="0019210F">
      <w:pPr>
        <w:numPr>
          <w:ilvl w:val="0"/>
          <w:numId w:val="1"/>
        </w:numPr>
        <w:tabs>
          <w:tab w:val="clear" w:pos="436"/>
          <w:tab w:val="left" w:pos="0"/>
        </w:tabs>
        <w:spacing w:after="0" w:line="240" w:lineRule="auto"/>
        <w:ind w:left="426" w:hanging="426"/>
        <w:rPr>
          <w:rFonts w:ascii="Arial" w:hAnsi="Arial" w:cs="Arial"/>
        </w:rPr>
      </w:pPr>
      <w:r w:rsidRPr="00DA4925">
        <w:rPr>
          <w:rFonts w:ascii="Arial" w:hAnsi="Arial" w:cs="Arial"/>
        </w:rPr>
        <w:t>In response to the Glasgow bin lorry tragedy, identified and secured funding to introduce additional safety devices to the LGV vehicle fleet.</w:t>
      </w:r>
    </w:p>
    <w:p w:rsidR="000B2C75" w:rsidRPr="00DA4925" w:rsidRDefault="000B2C75" w:rsidP="0019210F">
      <w:pPr>
        <w:numPr>
          <w:ilvl w:val="0"/>
          <w:numId w:val="1"/>
        </w:numPr>
        <w:tabs>
          <w:tab w:val="clear" w:pos="436"/>
          <w:tab w:val="left" w:pos="0"/>
        </w:tabs>
        <w:spacing w:after="0" w:line="240" w:lineRule="auto"/>
        <w:ind w:left="426" w:hanging="426"/>
        <w:rPr>
          <w:rFonts w:ascii="Arial" w:hAnsi="Arial" w:cs="Arial"/>
        </w:rPr>
      </w:pPr>
      <w:r w:rsidRPr="00DA4925">
        <w:rPr>
          <w:rFonts w:ascii="Arial" w:hAnsi="Arial" w:cs="Arial"/>
        </w:rPr>
        <w:t>Following a local public consultation exercise, converted the New</w:t>
      </w:r>
      <w:r w:rsidRPr="00E17F53">
        <w:rPr>
          <w:rFonts w:ascii="Arial" w:hAnsi="Arial" w:cs="Arial"/>
          <w:lang w:val="en-GB"/>
        </w:rPr>
        <w:t xml:space="preserve"> Bonhill</w:t>
      </w:r>
      <w:r w:rsidRPr="00DA4925">
        <w:rPr>
          <w:rFonts w:ascii="Arial" w:hAnsi="Arial" w:cs="Arial"/>
        </w:rPr>
        <w:t xml:space="preserve"> area onto the alternate weekly waste collection system coupled with a weekly food waste collection service resulting in the recycling performance in the New Bonhill area improving from 7% to over 30%.</w:t>
      </w:r>
    </w:p>
    <w:p w:rsidR="000B2C75" w:rsidRPr="00DA4925" w:rsidRDefault="000B2C75" w:rsidP="0019210F">
      <w:pPr>
        <w:numPr>
          <w:ilvl w:val="0"/>
          <w:numId w:val="1"/>
        </w:numPr>
        <w:tabs>
          <w:tab w:val="clear" w:pos="436"/>
          <w:tab w:val="left" w:pos="0"/>
        </w:tabs>
        <w:spacing w:after="0" w:line="240" w:lineRule="auto"/>
        <w:ind w:left="426" w:hanging="426"/>
        <w:rPr>
          <w:rFonts w:ascii="Arial" w:hAnsi="Arial" w:cs="Arial"/>
        </w:rPr>
      </w:pPr>
      <w:r w:rsidRPr="00DA4925">
        <w:rPr>
          <w:rFonts w:ascii="Arial" w:hAnsi="Arial" w:cs="Arial"/>
        </w:rPr>
        <w:t>Negotiated a 3 year dry mixed recycling processing contract with Greenlight Environmental Ltd, reducing Council expenditure by £50</w:t>
      </w:r>
      <w:r w:rsidR="00C441C4" w:rsidRPr="00DA4925">
        <w:rPr>
          <w:rFonts w:ascii="Arial" w:hAnsi="Arial" w:cs="Arial"/>
        </w:rPr>
        <w:t xml:space="preserve">k </w:t>
      </w:r>
      <w:r w:rsidRPr="00DA4925">
        <w:rPr>
          <w:rFonts w:ascii="Arial" w:hAnsi="Arial" w:cs="Arial"/>
        </w:rPr>
        <w:t xml:space="preserve">per annum and facilitating the creation of 16 full time jobs within Greenlight Environmental.  </w:t>
      </w:r>
    </w:p>
    <w:p w:rsidR="000B2C75" w:rsidRPr="00DA4925" w:rsidRDefault="000B2C75" w:rsidP="009F4EF9">
      <w:pPr>
        <w:spacing w:after="0" w:line="240" w:lineRule="auto"/>
        <w:rPr>
          <w:rFonts w:ascii="Arial" w:hAnsi="Arial" w:cs="Arial"/>
          <w:b/>
        </w:rPr>
      </w:pPr>
    </w:p>
    <w:p w:rsidR="000B2C75" w:rsidRPr="00DA4925" w:rsidRDefault="000B2C75" w:rsidP="009F4EF9">
      <w:pPr>
        <w:spacing w:after="0" w:line="240" w:lineRule="auto"/>
        <w:rPr>
          <w:rFonts w:ascii="Arial" w:hAnsi="Arial" w:cs="Arial"/>
          <w:b/>
        </w:rPr>
      </w:pPr>
      <w:r w:rsidRPr="00DA4925">
        <w:rPr>
          <w:rFonts w:ascii="Arial" w:hAnsi="Arial" w:cs="Arial"/>
          <w:b/>
        </w:rPr>
        <w:t>Greenspace</w:t>
      </w:r>
    </w:p>
    <w:p w:rsidR="000B2C75" w:rsidRPr="00DA4925" w:rsidRDefault="000B2C75" w:rsidP="009F4EF9">
      <w:pPr>
        <w:spacing w:after="0" w:line="240" w:lineRule="auto"/>
        <w:rPr>
          <w:rFonts w:ascii="Arial" w:hAnsi="Arial" w:cs="Arial"/>
          <w:b/>
        </w:rPr>
      </w:pPr>
    </w:p>
    <w:p w:rsidR="000B2C75" w:rsidRPr="00DA4925" w:rsidRDefault="000B2C75" w:rsidP="0019210F">
      <w:pPr>
        <w:pStyle w:val="ListParagraph"/>
        <w:numPr>
          <w:ilvl w:val="0"/>
          <w:numId w:val="3"/>
        </w:numPr>
        <w:rPr>
          <w:rFonts w:ascii="Arial" w:hAnsi="Arial" w:cs="Arial"/>
          <w:sz w:val="22"/>
          <w:szCs w:val="22"/>
        </w:rPr>
      </w:pPr>
      <w:r w:rsidRPr="00DA4925">
        <w:rPr>
          <w:rFonts w:ascii="Arial" w:hAnsi="Arial" w:cs="Arial"/>
          <w:sz w:val="22"/>
          <w:szCs w:val="22"/>
        </w:rPr>
        <w:t>Secured successful external funding applications for Levengrove Park of £2.6</w:t>
      </w:r>
      <w:r w:rsidR="00C441C4" w:rsidRPr="00DA4925">
        <w:rPr>
          <w:rFonts w:ascii="Arial" w:hAnsi="Arial" w:cs="Arial"/>
          <w:sz w:val="22"/>
          <w:szCs w:val="22"/>
        </w:rPr>
        <w:t>m</w:t>
      </w:r>
      <w:r w:rsidRPr="00DA4925">
        <w:rPr>
          <w:rFonts w:ascii="Arial" w:hAnsi="Arial" w:cs="Arial"/>
          <w:sz w:val="22"/>
          <w:szCs w:val="22"/>
        </w:rPr>
        <w:t xml:space="preserve"> and Clydebank Community Sports Hub of £1.5</w:t>
      </w:r>
      <w:r w:rsidR="00C441C4" w:rsidRPr="00DA4925">
        <w:rPr>
          <w:rFonts w:ascii="Arial" w:hAnsi="Arial" w:cs="Arial"/>
          <w:sz w:val="22"/>
          <w:szCs w:val="22"/>
        </w:rPr>
        <w:t>m</w:t>
      </w:r>
      <w:r w:rsidRPr="00DA4925">
        <w:rPr>
          <w:rFonts w:ascii="Arial" w:hAnsi="Arial" w:cs="Arial"/>
          <w:sz w:val="22"/>
          <w:szCs w:val="22"/>
        </w:rPr>
        <w:t>.</w:t>
      </w:r>
    </w:p>
    <w:p w:rsidR="000B2C75" w:rsidRPr="00DA4925" w:rsidRDefault="000B2C75" w:rsidP="0019210F">
      <w:pPr>
        <w:pStyle w:val="ListParagraph"/>
        <w:numPr>
          <w:ilvl w:val="0"/>
          <w:numId w:val="3"/>
        </w:numPr>
        <w:rPr>
          <w:rFonts w:ascii="Arial" w:hAnsi="Arial" w:cs="Arial"/>
          <w:sz w:val="22"/>
          <w:szCs w:val="22"/>
        </w:rPr>
      </w:pPr>
      <w:r w:rsidRPr="00DA4925">
        <w:rPr>
          <w:rFonts w:ascii="Arial" w:hAnsi="Arial" w:cs="Arial"/>
          <w:sz w:val="22"/>
          <w:szCs w:val="22"/>
        </w:rPr>
        <w:t>Delivered 9 new play parks, totalling £900</w:t>
      </w:r>
      <w:r w:rsidR="00C441C4" w:rsidRPr="00DA4925">
        <w:rPr>
          <w:rFonts w:ascii="Arial" w:hAnsi="Arial" w:cs="Arial"/>
          <w:sz w:val="22"/>
          <w:szCs w:val="22"/>
        </w:rPr>
        <w:t>k</w:t>
      </w:r>
      <w:r w:rsidRPr="00DA4925">
        <w:rPr>
          <w:rFonts w:ascii="Arial" w:hAnsi="Arial" w:cs="Arial"/>
          <w:sz w:val="22"/>
          <w:szCs w:val="22"/>
        </w:rPr>
        <w:t>.</w:t>
      </w:r>
    </w:p>
    <w:p w:rsidR="000B2C75" w:rsidRPr="00DA4925" w:rsidRDefault="000B2C75" w:rsidP="0019210F">
      <w:pPr>
        <w:pStyle w:val="ListParagraph"/>
        <w:numPr>
          <w:ilvl w:val="0"/>
          <w:numId w:val="3"/>
        </w:numPr>
        <w:rPr>
          <w:rFonts w:ascii="Arial" w:hAnsi="Arial" w:cs="Arial"/>
          <w:sz w:val="22"/>
          <w:szCs w:val="22"/>
        </w:rPr>
      </w:pPr>
      <w:r w:rsidRPr="00DA4925">
        <w:rPr>
          <w:rFonts w:ascii="Arial" w:hAnsi="Arial" w:cs="Arial"/>
          <w:sz w:val="22"/>
          <w:szCs w:val="22"/>
        </w:rPr>
        <w:lastRenderedPageBreak/>
        <w:t>Achieved Green Flag awards for Dalmuir Park and New Dumbarton Cemetery, the first Scottish cemetery to win this award.</w:t>
      </w:r>
    </w:p>
    <w:p w:rsidR="000B2C75" w:rsidRPr="00DA4925" w:rsidRDefault="000B2C75" w:rsidP="0019210F">
      <w:pPr>
        <w:pStyle w:val="ListParagraph"/>
        <w:numPr>
          <w:ilvl w:val="0"/>
          <w:numId w:val="3"/>
        </w:numPr>
        <w:rPr>
          <w:rFonts w:ascii="Arial" w:hAnsi="Arial" w:cs="Arial"/>
          <w:sz w:val="22"/>
          <w:szCs w:val="22"/>
        </w:rPr>
      </w:pPr>
      <w:r w:rsidRPr="00DA4925">
        <w:rPr>
          <w:rFonts w:ascii="Arial" w:hAnsi="Arial" w:cs="Arial"/>
          <w:sz w:val="22"/>
          <w:szCs w:val="22"/>
        </w:rPr>
        <w:t>Achieved silver in the COSLA Excellence Award for our successful ‘Do the Right Thing’ litter campaign.</w:t>
      </w:r>
    </w:p>
    <w:p w:rsidR="000B2C75" w:rsidRPr="00DA4925" w:rsidRDefault="000B2C75" w:rsidP="0019210F">
      <w:pPr>
        <w:pStyle w:val="ListParagraph"/>
        <w:numPr>
          <w:ilvl w:val="0"/>
          <w:numId w:val="3"/>
        </w:numPr>
        <w:rPr>
          <w:rFonts w:ascii="Arial" w:hAnsi="Arial" w:cs="Arial"/>
          <w:sz w:val="22"/>
          <w:szCs w:val="22"/>
        </w:rPr>
      </w:pPr>
      <w:r w:rsidRPr="00DA4925">
        <w:rPr>
          <w:rFonts w:ascii="Arial" w:hAnsi="Arial" w:cs="Arial"/>
          <w:sz w:val="22"/>
          <w:szCs w:val="22"/>
        </w:rPr>
        <w:t>Shortlisted as best performer in both Parks and Street Cleaning services at APSE Performance Networks.</w:t>
      </w:r>
    </w:p>
    <w:p w:rsidR="000B2C75" w:rsidRPr="00DA4925" w:rsidRDefault="000B2C75" w:rsidP="009F4EF9">
      <w:pPr>
        <w:pStyle w:val="ListParagraph"/>
        <w:ind w:left="0"/>
        <w:rPr>
          <w:rFonts w:ascii="Arial" w:hAnsi="Arial" w:cs="Arial"/>
          <w:b/>
          <w:sz w:val="22"/>
          <w:szCs w:val="22"/>
        </w:rPr>
      </w:pPr>
    </w:p>
    <w:p w:rsidR="000B2C75" w:rsidRPr="00DA4925" w:rsidRDefault="000B2C75" w:rsidP="009F4EF9">
      <w:pPr>
        <w:pStyle w:val="ListParagraph"/>
        <w:ind w:left="0"/>
        <w:rPr>
          <w:rFonts w:ascii="Arial" w:hAnsi="Arial" w:cs="Arial"/>
          <w:b/>
          <w:sz w:val="22"/>
          <w:szCs w:val="22"/>
        </w:rPr>
      </w:pPr>
      <w:r w:rsidRPr="00DA4925">
        <w:rPr>
          <w:rFonts w:ascii="Arial" w:hAnsi="Arial" w:cs="Arial"/>
          <w:b/>
          <w:sz w:val="22"/>
          <w:szCs w:val="22"/>
        </w:rPr>
        <w:t>Leisure and Facilities Management</w:t>
      </w:r>
    </w:p>
    <w:p w:rsidR="000B2C75" w:rsidRPr="00DA4925" w:rsidRDefault="000B2C75" w:rsidP="009F4EF9">
      <w:pPr>
        <w:pStyle w:val="ListParagraph"/>
        <w:ind w:left="0"/>
        <w:rPr>
          <w:rFonts w:ascii="Arial" w:hAnsi="Arial" w:cs="Arial"/>
          <w:sz w:val="22"/>
          <w:szCs w:val="22"/>
        </w:rPr>
      </w:pPr>
    </w:p>
    <w:p w:rsidR="000B2C75" w:rsidRPr="00DA4925" w:rsidRDefault="000B2C75" w:rsidP="0019210F">
      <w:pPr>
        <w:pStyle w:val="ListParagraph"/>
        <w:numPr>
          <w:ilvl w:val="0"/>
          <w:numId w:val="2"/>
        </w:numPr>
        <w:ind w:left="360"/>
        <w:contextualSpacing w:val="0"/>
        <w:rPr>
          <w:rFonts w:ascii="Arial" w:hAnsi="Arial" w:cs="Arial"/>
          <w:sz w:val="22"/>
          <w:szCs w:val="22"/>
          <w:lang w:val="en-US"/>
        </w:rPr>
      </w:pPr>
      <w:r w:rsidRPr="00DA4925">
        <w:rPr>
          <w:rFonts w:ascii="Arial" w:hAnsi="Arial" w:cs="Arial"/>
          <w:sz w:val="22"/>
          <w:szCs w:val="22"/>
          <w:lang w:val="en-US"/>
        </w:rPr>
        <w:t>Developed the new Leisure Centre in Clydebank which will offer residents and visitors to the area the opportunity to use state of the art facilities.</w:t>
      </w:r>
    </w:p>
    <w:p w:rsidR="000B2C75" w:rsidRPr="00DA4925" w:rsidRDefault="000B2C75" w:rsidP="0019210F">
      <w:pPr>
        <w:pStyle w:val="ListParagraph"/>
        <w:numPr>
          <w:ilvl w:val="0"/>
          <w:numId w:val="2"/>
        </w:numPr>
        <w:ind w:left="360"/>
        <w:contextualSpacing w:val="0"/>
        <w:rPr>
          <w:rFonts w:ascii="Arial" w:hAnsi="Arial" w:cs="Arial"/>
          <w:sz w:val="22"/>
          <w:szCs w:val="22"/>
          <w:lang w:val="en-US"/>
        </w:rPr>
      </w:pPr>
      <w:r w:rsidRPr="00DA4925">
        <w:rPr>
          <w:rFonts w:ascii="Arial" w:hAnsi="Arial" w:cs="Arial"/>
          <w:sz w:val="22"/>
          <w:szCs w:val="22"/>
        </w:rPr>
        <w:t xml:space="preserve">Reviewed provision and implemented new nursery snack menus in line with Scottish Government “Setting the Table” guidance. </w:t>
      </w:r>
    </w:p>
    <w:p w:rsidR="000B2C75" w:rsidRPr="00DA4925" w:rsidRDefault="000B2C75" w:rsidP="009F4EF9">
      <w:pPr>
        <w:pStyle w:val="ListParagraph"/>
        <w:ind w:left="0"/>
        <w:rPr>
          <w:rFonts w:ascii="Arial" w:hAnsi="Arial" w:cs="Arial"/>
          <w:sz w:val="22"/>
          <w:szCs w:val="22"/>
          <w:highlight w:val="yellow"/>
        </w:rPr>
      </w:pPr>
    </w:p>
    <w:p w:rsidR="00DF1B8A" w:rsidRPr="00DA4925" w:rsidRDefault="00DF1B8A" w:rsidP="009F4EF9">
      <w:pPr>
        <w:spacing w:after="0" w:line="240" w:lineRule="auto"/>
        <w:rPr>
          <w:rFonts w:ascii="Arial" w:hAnsi="Arial" w:cs="Arial"/>
          <w:b/>
          <w:u w:val="single"/>
          <w:lang w:val="en-GB"/>
        </w:rPr>
      </w:pPr>
      <w:r w:rsidRPr="00DA4925">
        <w:rPr>
          <w:rFonts w:ascii="Arial" w:hAnsi="Arial" w:cs="Arial"/>
          <w:b/>
          <w:u w:val="single"/>
          <w:lang w:val="en-GB"/>
        </w:rPr>
        <w:t>Challenges</w:t>
      </w:r>
    </w:p>
    <w:p w:rsidR="00DF1B8A" w:rsidRPr="00DA4925" w:rsidRDefault="00DF1B8A" w:rsidP="009F4EF9">
      <w:pPr>
        <w:spacing w:after="0" w:line="240" w:lineRule="auto"/>
        <w:rPr>
          <w:rFonts w:ascii="Arial" w:hAnsi="Arial" w:cs="Arial"/>
          <w:lang w:val="en-GB"/>
        </w:rPr>
      </w:pPr>
    </w:p>
    <w:p w:rsidR="002A0624" w:rsidRPr="00DA4925" w:rsidRDefault="000C5485" w:rsidP="009F4EF9">
      <w:pPr>
        <w:spacing w:after="0" w:line="240" w:lineRule="auto"/>
        <w:rPr>
          <w:rFonts w:ascii="Arial" w:hAnsi="Arial" w:cs="Arial"/>
          <w:lang w:val="en-GB"/>
        </w:rPr>
      </w:pPr>
      <w:r w:rsidRPr="00DA4925">
        <w:rPr>
          <w:rFonts w:ascii="Arial" w:hAnsi="Arial" w:cs="Arial"/>
          <w:lang w:val="en-GB"/>
        </w:rPr>
        <w:t>The performance review also identified a number of challenges in 2016/17 that will be the focus of i</w:t>
      </w:r>
      <w:r w:rsidR="00E22B23" w:rsidRPr="00DA4925">
        <w:rPr>
          <w:rFonts w:ascii="Arial" w:hAnsi="Arial" w:cs="Arial"/>
          <w:lang w:val="en-GB"/>
        </w:rPr>
        <w:t>mprovement activity in 2017/18.</w:t>
      </w:r>
    </w:p>
    <w:p w:rsidR="00E22B23" w:rsidRPr="00DA4925" w:rsidRDefault="00E22B23" w:rsidP="009F4EF9">
      <w:pPr>
        <w:spacing w:after="0" w:line="240" w:lineRule="auto"/>
        <w:rPr>
          <w:rFonts w:ascii="Arial" w:hAnsi="Arial" w:cs="Arial"/>
          <w:lang w:val="en-GB"/>
        </w:rPr>
      </w:pPr>
    </w:p>
    <w:p w:rsidR="002A0624" w:rsidRPr="00DA4925" w:rsidRDefault="002A0624" w:rsidP="009F4EF9">
      <w:pPr>
        <w:spacing w:after="0" w:line="240" w:lineRule="auto"/>
        <w:rPr>
          <w:rFonts w:ascii="Arial" w:hAnsi="Arial" w:cs="Arial"/>
          <w:b/>
          <w:lang w:val="en-GB"/>
        </w:rPr>
      </w:pPr>
      <w:r w:rsidRPr="00DA4925">
        <w:rPr>
          <w:rFonts w:ascii="Arial" w:hAnsi="Arial" w:cs="Arial"/>
          <w:b/>
          <w:lang w:val="en-GB"/>
        </w:rPr>
        <w:t>Sports Facilities</w:t>
      </w:r>
    </w:p>
    <w:p w:rsidR="002A0624" w:rsidRPr="00DA4925" w:rsidRDefault="002A0624" w:rsidP="009F4EF9">
      <w:pPr>
        <w:spacing w:after="0" w:line="240" w:lineRule="auto"/>
        <w:rPr>
          <w:rFonts w:ascii="Arial" w:hAnsi="Arial" w:cs="Arial"/>
          <w:lang w:val="en-GB"/>
        </w:rPr>
      </w:pPr>
    </w:p>
    <w:p w:rsidR="001837A0" w:rsidRPr="00DA4925" w:rsidRDefault="001837A0" w:rsidP="009F4EF9">
      <w:pPr>
        <w:spacing w:after="0" w:line="240" w:lineRule="auto"/>
        <w:rPr>
          <w:rFonts w:ascii="Arial" w:hAnsi="Arial" w:cs="Arial"/>
          <w:lang w:val="en-GB"/>
        </w:rPr>
      </w:pPr>
      <w:r w:rsidRPr="00DA4925">
        <w:rPr>
          <w:rFonts w:ascii="Arial" w:hAnsi="Arial" w:cs="Arial"/>
          <w:lang w:val="en-GB"/>
        </w:rPr>
        <w:t>The</w:t>
      </w:r>
      <w:r w:rsidR="00C35142" w:rsidRPr="00DA4925">
        <w:rPr>
          <w:rFonts w:ascii="Arial" w:hAnsi="Arial" w:cs="Arial"/>
          <w:lang w:val="en-GB"/>
        </w:rPr>
        <w:t xml:space="preserve"> </w:t>
      </w:r>
      <w:r w:rsidR="002A0624" w:rsidRPr="00DA4925">
        <w:rPr>
          <w:rFonts w:ascii="Arial" w:hAnsi="Arial" w:cs="Arial"/>
          <w:lang w:val="en-GB"/>
        </w:rPr>
        <w:t>cost per attendance at sports facilities</w:t>
      </w:r>
      <w:r w:rsidR="00E22B23" w:rsidRPr="00DA4925">
        <w:rPr>
          <w:rFonts w:ascii="Arial" w:hAnsi="Arial" w:cs="Arial"/>
          <w:lang w:val="en-GB"/>
        </w:rPr>
        <w:t xml:space="preserve"> rose </w:t>
      </w:r>
      <w:r w:rsidR="002D63FE" w:rsidRPr="00DA4925">
        <w:rPr>
          <w:rFonts w:ascii="Arial" w:hAnsi="Arial" w:cs="Arial"/>
          <w:lang w:val="en-GB"/>
        </w:rPr>
        <w:t>between 2014/15 and 2015/16</w:t>
      </w:r>
      <w:r w:rsidRPr="00DA4925">
        <w:rPr>
          <w:rFonts w:ascii="Arial" w:hAnsi="Arial" w:cs="Arial"/>
          <w:lang w:val="en-GB"/>
        </w:rPr>
        <w:t>. Existing facilities performed well with the exception of the Playdrome which saw visitor numbers decline steeply, impacting negatively on this indicator.</w:t>
      </w:r>
    </w:p>
    <w:p w:rsidR="001837A0" w:rsidRPr="00DA4925" w:rsidRDefault="001837A0" w:rsidP="009F4EF9">
      <w:pPr>
        <w:spacing w:after="0" w:line="240" w:lineRule="auto"/>
        <w:rPr>
          <w:rFonts w:ascii="Arial" w:hAnsi="Arial" w:cs="Arial"/>
          <w:lang w:val="en-GB"/>
        </w:rPr>
      </w:pPr>
    </w:p>
    <w:p w:rsidR="001F1138" w:rsidRPr="00DA4925" w:rsidRDefault="003C4D56" w:rsidP="001F1138">
      <w:pPr>
        <w:spacing w:after="0" w:line="240" w:lineRule="auto"/>
        <w:rPr>
          <w:rFonts w:ascii="Arial" w:hAnsi="Arial" w:cs="Arial"/>
          <w:lang w:val="en-GB"/>
        </w:rPr>
      </w:pPr>
      <w:r w:rsidRPr="00DA4925">
        <w:rPr>
          <w:rFonts w:ascii="Arial" w:hAnsi="Arial" w:cs="Arial"/>
          <w:bCs/>
          <w:lang w:val="en-GB"/>
        </w:rPr>
        <w:t>To improve participation rates in 2017/18 and impact positively on this cost indicator, we will</w:t>
      </w:r>
      <w:r w:rsidR="001837A0" w:rsidRPr="00DA4925">
        <w:rPr>
          <w:rFonts w:ascii="Arial" w:hAnsi="Arial" w:cs="Arial"/>
          <w:bCs/>
          <w:lang w:val="en-GB"/>
        </w:rPr>
        <w:t xml:space="preserve"> review our programme to meet </w:t>
      </w:r>
      <w:r w:rsidR="00067C76" w:rsidRPr="00DA4925">
        <w:rPr>
          <w:rFonts w:ascii="Arial" w:hAnsi="Arial" w:cs="Arial"/>
          <w:bCs/>
          <w:lang w:val="en-GB"/>
        </w:rPr>
        <w:t>service users’</w:t>
      </w:r>
      <w:r w:rsidR="001837A0" w:rsidRPr="00DA4925">
        <w:rPr>
          <w:rFonts w:ascii="Arial" w:hAnsi="Arial" w:cs="Arial"/>
          <w:bCs/>
          <w:lang w:val="en-GB"/>
        </w:rPr>
        <w:t xml:space="preserve"> needs, and actively engage with partners, the college and employee groups.</w:t>
      </w:r>
      <w:r w:rsidR="001F1138" w:rsidRPr="001F1138">
        <w:rPr>
          <w:rFonts w:ascii="Arial" w:hAnsi="Arial" w:cs="Arial"/>
          <w:lang w:val="en-GB"/>
        </w:rPr>
        <w:t xml:space="preserve"> </w:t>
      </w:r>
      <w:r w:rsidR="002454F0">
        <w:rPr>
          <w:rFonts w:ascii="Arial" w:hAnsi="Arial" w:cs="Arial"/>
          <w:lang w:val="en-GB"/>
        </w:rPr>
        <w:t>In addition to this, t</w:t>
      </w:r>
      <w:r w:rsidR="001F1138" w:rsidRPr="00DA4925">
        <w:rPr>
          <w:rFonts w:ascii="Arial" w:hAnsi="Arial" w:cs="Arial"/>
          <w:lang w:val="en-GB"/>
        </w:rPr>
        <w:t>he new Clydebank Community Sports Hub will be developed following investment of £3m alongside the new Clydebank Leisure Centre. Th</w:t>
      </w:r>
      <w:r w:rsidR="002454F0">
        <w:rPr>
          <w:rFonts w:ascii="Arial" w:hAnsi="Arial" w:cs="Arial"/>
          <w:lang w:val="en-GB"/>
        </w:rPr>
        <w:t xml:space="preserve">ese </w:t>
      </w:r>
      <w:r w:rsidR="001F1138" w:rsidRPr="00DA4925">
        <w:rPr>
          <w:rFonts w:ascii="Arial" w:hAnsi="Arial" w:cs="Arial"/>
          <w:lang w:val="en-GB"/>
        </w:rPr>
        <w:t>improve</w:t>
      </w:r>
      <w:r w:rsidR="002454F0">
        <w:rPr>
          <w:rFonts w:ascii="Arial" w:hAnsi="Arial" w:cs="Arial"/>
          <w:lang w:val="en-GB"/>
        </w:rPr>
        <w:t>d</w:t>
      </w:r>
      <w:r w:rsidR="001F1138" w:rsidRPr="00DA4925">
        <w:rPr>
          <w:rFonts w:ascii="Arial" w:hAnsi="Arial" w:cs="Arial"/>
          <w:lang w:val="en-GB"/>
        </w:rPr>
        <w:t xml:space="preserve"> sport and </w:t>
      </w:r>
      <w:r w:rsidR="002454F0">
        <w:rPr>
          <w:rFonts w:ascii="Arial" w:hAnsi="Arial" w:cs="Arial"/>
          <w:lang w:val="en-GB"/>
        </w:rPr>
        <w:t xml:space="preserve">leisure facilities in Clydebank </w:t>
      </w:r>
      <w:r w:rsidR="002454F0" w:rsidRPr="00DA4925">
        <w:rPr>
          <w:rFonts w:ascii="Arial" w:hAnsi="Arial" w:cs="Arial"/>
          <w:lang w:val="en-GB"/>
        </w:rPr>
        <w:t>will</w:t>
      </w:r>
      <w:r w:rsidR="002454F0">
        <w:rPr>
          <w:rFonts w:ascii="Arial" w:hAnsi="Arial" w:cs="Arial"/>
          <w:lang w:val="en-GB"/>
        </w:rPr>
        <w:t xml:space="preserve"> be innovatively and widely marketed</w:t>
      </w:r>
      <w:r w:rsidR="002454F0" w:rsidRPr="00DA4925">
        <w:rPr>
          <w:rFonts w:ascii="Arial" w:hAnsi="Arial" w:cs="Arial"/>
          <w:lang w:val="en-GB"/>
        </w:rPr>
        <w:t xml:space="preserve"> </w:t>
      </w:r>
      <w:r w:rsidR="002454F0">
        <w:rPr>
          <w:rFonts w:ascii="Arial" w:hAnsi="Arial" w:cs="Arial"/>
          <w:lang w:val="en-GB"/>
        </w:rPr>
        <w:t xml:space="preserve">to support an </w:t>
      </w:r>
      <w:r w:rsidR="001F1138" w:rsidRPr="00DA4925">
        <w:rPr>
          <w:rFonts w:ascii="Arial" w:hAnsi="Arial" w:cs="Arial"/>
          <w:lang w:val="en-GB"/>
        </w:rPr>
        <w:t xml:space="preserve">increase </w:t>
      </w:r>
      <w:r w:rsidR="002454F0">
        <w:rPr>
          <w:rFonts w:ascii="Arial" w:hAnsi="Arial" w:cs="Arial"/>
          <w:lang w:val="en-GB"/>
        </w:rPr>
        <w:t xml:space="preserve">in </w:t>
      </w:r>
      <w:r w:rsidR="001F1138" w:rsidRPr="00DA4925">
        <w:rPr>
          <w:rFonts w:ascii="Arial" w:hAnsi="Arial" w:cs="Arial"/>
          <w:lang w:val="en-GB"/>
        </w:rPr>
        <w:t xml:space="preserve">participation and </w:t>
      </w:r>
      <w:r w:rsidR="002454F0">
        <w:rPr>
          <w:rFonts w:ascii="Arial" w:hAnsi="Arial" w:cs="Arial"/>
          <w:lang w:val="en-GB"/>
        </w:rPr>
        <w:t xml:space="preserve">a </w:t>
      </w:r>
      <w:r w:rsidR="001F1138" w:rsidRPr="00DA4925">
        <w:rPr>
          <w:rFonts w:ascii="Arial" w:hAnsi="Arial" w:cs="Arial"/>
          <w:lang w:val="en-GB"/>
        </w:rPr>
        <w:t>reduc</w:t>
      </w:r>
      <w:r w:rsidR="002454F0">
        <w:rPr>
          <w:rFonts w:ascii="Arial" w:hAnsi="Arial" w:cs="Arial"/>
          <w:lang w:val="en-GB"/>
        </w:rPr>
        <w:t>tion in</w:t>
      </w:r>
      <w:r w:rsidR="001F1138" w:rsidRPr="00DA4925">
        <w:rPr>
          <w:rFonts w:ascii="Arial" w:hAnsi="Arial" w:cs="Arial"/>
          <w:lang w:val="en-GB"/>
        </w:rPr>
        <w:t xml:space="preserve"> costs.</w:t>
      </w:r>
    </w:p>
    <w:p w:rsidR="003C4D56" w:rsidRPr="00DA4925" w:rsidRDefault="003C4D56" w:rsidP="003C4D56">
      <w:pPr>
        <w:spacing w:after="0" w:line="240" w:lineRule="auto"/>
        <w:rPr>
          <w:rFonts w:ascii="Arial" w:hAnsi="Arial" w:cs="Arial"/>
          <w:lang w:val="en-GB"/>
        </w:rPr>
      </w:pPr>
    </w:p>
    <w:p w:rsidR="005832CA" w:rsidRPr="00DA4925" w:rsidRDefault="005832CA" w:rsidP="005832CA">
      <w:pPr>
        <w:spacing w:after="0" w:line="240" w:lineRule="auto"/>
        <w:rPr>
          <w:rFonts w:ascii="Arial" w:hAnsi="Arial" w:cs="Arial"/>
          <w:b/>
          <w:bCs/>
        </w:rPr>
      </w:pPr>
      <w:r w:rsidRPr="00DA4925">
        <w:rPr>
          <w:rFonts w:ascii="Arial" w:hAnsi="Arial" w:cs="Arial"/>
          <w:b/>
          <w:bCs/>
        </w:rPr>
        <w:t>Waste Disposal</w:t>
      </w:r>
    </w:p>
    <w:p w:rsidR="005832CA" w:rsidRPr="00DA4925" w:rsidRDefault="005832CA" w:rsidP="005832CA">
      <w:pPr>
        <w:spacing w:after="0" w:line="240" w:lineRule="auto"/>
        <w:rPr>
          <w:rFonts w:ascii="Arial" w:hAnsi="Arial" w:cs="Arial"/>
        </w:rPr>
      </w:pPr>
    </w:p>
    <w:p w:rsidR="005832CA" w:rsidRPr="00DA4925" w:rsidRDefault="005832CA" w:rsidP="005832CA">
      <w:pPr>
        <w:spacing w:after="0" w:line="240" w:lineRule="auto"/>
        <w:rPr>
          <w:rFonts w:ascii="Arial" w:hAnsi="Arial" w:cs="Arial"/>
        </w:rPr>
      </w:pPr>
      <w:r w:rsidRPr="00DA4925">
        <w:rPr>
          <w:rFonts w:ascii="Arial" w:hAnsi="Arial" w:cs="Arial"/>
        </w:rPr>
        <w:t xml:space="preserve">While we continue to have one of the lowest waste collection costs per household of all Scottish councils (up one place to second best in 2015/16), our waste disposal costs are above the Scottish average. This can be explained, in part, by an increase in the total waste arisings managed by the Council, which increased by 4,600 tonnes between 2013/14 and 2015/16. </w:t>
      </w:r>
    </w:p>
    <w:p w:rsidR="005832CA" w:rsidRPr="00DA4925" w:rsidRDefault="005832CA" w:rsidP="005832CA">
      <w:pPr>
        <w:spacing w:after="0" w:line="240" w:lineRule="auto"/>
        <w:rPr>
          <w:rFonts w:ascii="Arial" w:hAnsi="Arial" w:cs="Arial"/>
        </w:rPr>
      </w:pPr>
    </w:p>
    <w:p w:rsidR="005832CA" w:rsidRPr="00DA4925" w:rsidRDefault="005832CA" w:rsidP="005832CA">
      <w:pPr>
        <w:spacing w:after="0" w:line="240" w:lineRule="auto"/>
        <w:rPr>
          <w:rFonts w:ascii="Arial" w:hAnsi="Arial" w:cs="Arial"/>
        </w:rPr>
      </w:pPr>
      <w:r w:rsidRPr="00DA4925">
        <w:rPr>
          <w:rFonts w:ascii="Arial" w:hAnsi="Arial" w:cs="Arial"/>
        </w:rPr>
        <w:t xml:space="preserve">To improve this indicator in 2017/18, we have conducted an analysis of the material householders are placing in their landfill waste bin rather than in the recycling bins provided. This exercise identified that the around 40% of the waste could have been recycled thereby reducing the cost of disposal. Consequently, we will implement a number </w:t>
      </w:r>
      <w:r w:rsidR="00EA0CEE" w:rsidRPr="00DA4925">
        <w:rPr>
          <w:rFonts w:ascii="Arial" w:hAnsi="Arial" w:cs="Arial"/>
        </w:rPr>
        <w:t xml:space="preserve">of </w:t>
      </w:r>
      <w:r w:rsidRPr="00DA4925">
        <w:rPr>
          <w:rFonts w:ascii="Arial" w:hAnsi="Arial" w:cs="Arial"/>
        </w:rPr>
        <w:t>actions to support residents in recycling more of their waste to reduce</w:t>
      </w:r>
      <w:r w:rsidR="00744C7A" w:rsidRPr="00DA4925">
        <w:rPr>
          <w:rFonts w:ascii="Arial" w:hAnsi="Arial" w:cs="Arial"/>
        </w:rPr>
        <w:t xml:space="preserve"> the cost of landfill disposals.</w:t>
      </w:r>
      <w:r w:rsidRPr="00DA4925">
        <w:rPr>
          <w:rFonts w:ascii="Arial" w:hAnsi="Arial" w:cs="Arial"/>
        </w:rPr>
        <w:t> </w:t>
      </w:r>
    </w:p>
    <w:p w:rsidR="005832CA" w:rsidRPr="00DA4925" w:rsidRDefault="005832CA" w:rsidP="009F4EF9">
      <w:pPr>
        <w:spacing w:after="0" w:line="240" w:lineRule="auto"/>
        <w:rPr>
          <w:rFonts w:ascii="Arial" w:hAnsi="Arial" w:cs="Arial"/>
          <w:b/>
          <w:lang w:val="en-GB"/>
        </w:rPr>
      </w:pPr>
    </w:p>
    <w:p w:rsidR="00C80D1C" w:rsidRPr="00DA4925" w:rsidRDefault="00C80D1C">
      <w:pPr>
        <w:spacing w:after="0" w:line="240" w:lineRule="auto"/>
        <w:rPr>
          <w:rFonts w:ascii="Arial" w:hAnsi="Arial" w:cs="Arial"/>
          <w:b/>
          <w:lang w:val="en-GB"/>
        </w:rPr>
      </w:pPr>
      <w:r w:rsidRPr="00DA4925">
        <w:rPr>
          <w:rFonts w:ascii="Arial" w:hAnsi="Arial" w:cs="Arial"/>
          <w:b/>
          <w:lang w:val="en-GB"/>
        </w:rPr>
        <w:br w:type="page"/>
      </w:r>
    </w:p>
    <w:p w:rsidR="002A0624" w:rsidRPr="00DA4925" w:rsidRDefault="002A0624" w:rsidP="009F4EF9">
      <w:pPr>
        <w:spacing w:after="0" w:line="240" w:lineRule="auto"/>
        <w:rPr>
          <w:rFonts w:ascii="Arial" w:hAnsi="Arial" w:cs="Arial"/>
          <w:b/>
          <w:lang w:val="en-GB"/>
        </w:rPr>
      </w:pPr>
      <w:r w:rsidRPr="00DA4925">
        <w:rPr>
          <w:rFonts w:ascii="Arial" w:hAnsi="Arial" w:cs="Arial"/>
          <w:b/>
          <w:lang w:val="en-GB"/>
        </w:rPr>
        <w:lastRenderedPageBreak/>
        <w:t>Street Cleaning</w:t>
      </w:r>
    </w:p>
    <w:p w:rsidR="002A0624" w:rsidRPr="00DA4925" w:rsidRDefault="002A0624" w:rsidP="009F4EF9">
      <w:pPr>
        <w:spacing w:after="0" w:line="240" w:lineRule="auto"/>
        <w:rPr>
          <w:rFonts w:ascii="Arial" w:hAnsi="Arial" w:cs="Arial"/>
          <w:lang w:val="en-GB"/>
        </w:rPr>
      </w:pPr>
    </w:p>
    <w:p w:rsidR="005D64DC" w:rsidRPr="00DA4925" w:rsidRDefault="005D64DC" w:rsidP="009F4EF9">
      <w:pPr>
        <w:spacing w:after="0" w:line="240" w:lineRule="auto"/>
        <w:rPr>
          <w:rFonts w:ascii="Arial" w:hAnsi="Arial" w:cs="Arial"/>
          <w:lang w:val="en-GB"/>
        </w:rPr>
      </w:pPr>
      <w:r w:rsidRPr="00DA4925">
        <w:rPr>
          <w:rFonts w:ascii="Arial" w:hAnsi="Arial" w:cs="Arial"/>
          <w:lang w:val="en-GB"/>
        </w:rPr>
        <w:t>T</w:t>
      </w:r>
      <w:r w:rsidR="002A0624" w:rsidRPr="00DA4925">
        <w:rPr>
          <w:rFonts w:ascii="Arial" w:hAnsi="Arial" w:cs="Arial"/>
          <w:lang w:val="en-GB"/>
        </w:rPr>
        <w:t xml:space="preserve">he net cost of street cleaning per 1,000 population has increased by </w:t>
      </w:r>
      <w:r w:rsidR="003C4D56" w:rsidRPr="00DA4925">
        <w:rPr>
          <w:rFonts w:ascii="Arial" w:hAnsi="Arial" w:cs="Arial"/>
          <w:lang w:val="en-GB"/>
        </w:rPr>
        <w:t>over 5</w:t>
      </w:r>
      <w:r w:rsidR="002A0624" w:rsidRPr="00DA4925">
        <w:rPr>
          <w:rFonts w:ascii="Arial" w:hAnsi="Arial" w:cs="Arial"/>
          <w:lang w:val="en-GB"/>
        </w:rPr>
        <w:t>%</w:t>
      </w:r>
      <w:r w:rsidR="002D63FE" w:rsidRPr="00DA4925">
        <w:rPr>
          <w:rFonts w:ascii="Arial" w:hAnsi="Arial" w:cs="Arial"/>
          <w:lang w:val="en-GB"/>
        </w:rPr>
        <w:t xml:space="preserve"> between 2</w:t>
      </w:r>
      <w:r w:rsidR="002A0624" w:rsidRPr="00DA4925">
        <w:rPr>
          <w:rFonts w:ascii="Arial" w:hAnsi="Arial" w:cs="Arial"/>
          <w:lang w:val="en-GB"/>
        </w:rPr>
        <w:t xml:space="preserve">014/15 </w:t>
      </w:r>
      <w:r w:rsidR="002D63FE" w:rsidRPr="00DA4925">
        <w:rPr>
          <w:rFonts w:ascii="Arial" w:hAnsi="Arial" w:cs="Arial"/>
          <w:lang w:val="en-GB"/>
        </w:rPr>
        <w:t>and 2015/16</w:t>
      </w:r>
      <w:r w:rsidRPr="00DA4925">
        <w:rPr>
          <w:rFonts w:ascii="Arial" w:hAnsi="Arial" w:cs="Arial"/>
          <w:lang w:val="en-GB"/>
        </w:rPr>
        <w:t xml:space="preserve"> and</w:t>
      </w:r>
      <w:r w:rsidR="003C4D56" w:rsidRPr="00DA4925">
        <w:rPr>
          <w:rFonts w:ascii="Arial" w:hAnsi="Arial" w:cs="Arial"/>
          <w:lang w:val="en-GB"/>
        </w:rPr>
        <w:t xml:space="preserve"> our cleanliness score has fallen 2 percentage points from</w:t>
      </w:r>
      <w:r w:rsidRPr="00DA4925">
        <w:rPr>
          <w:rFonts w:ascii="Arial" w:hAnsi="Arial" w:cs="Arial"/>
          <w:lang w:val="en-GB"/>
        </w:rPr>
        <w:t xml:space="preserve"> 94% to 92% over the same period</w:t>
      </w:r>
      <w:r w:rsidR="003C4D56" w:rsidRPr="00DA4925">
        <w:rPr>
          <w:rFonts w:ascii="Arial" w:hAnsi="Arial" w:cs="Arial"/>
          <w:lang w:val="en-GB"/>
        </w:rPr>
        <w:t xml:space="preserve">. However, </w:t>
      </w:r>
      <w:r w:rsidR="002D63FE" w:rsidRPr="00DA4925">
        <w:rPr>
          <w:rFonts w:ascii="Arial" w:hAnsi="Arial" w:cs="Arial"/>
          <w:lang w:val="en-GB"/>
        </w:rPr>
        <w:t xml:space="preserve">satisfaction with street cleaning </w:t>
      </w:r>
      <w:r w:rsidR="003C4D56" w:rsidRPr="00DA4925">
        <w:rPr>
          <w:rFonts w:ascii="Arial" w:hAnsi="Arial" w:cs="Arial"/>
          <w:lang w:val="en-GB"/>
        </w:rPr>
        <w:t xml:space="preserve">in West Dunbartonshire </w:t>
      </w:r>
      <w:r w:rsidR="002D63FE" w:rsidRPr="00DA4925">
        <w:rPr>
          <w:rFonts w:ascii="Arial" w:hAnsi="Arial" w:cs="Arial"/>
          <w:lang w:val="en-GB"/>
        </w:rPr>
        <w:t xml:space="preserve">has </w:t>
      </w:r>
      <w:r w:rsidR="003C4D56" w:rsidRPr="00DA4925">
        <w:rPr>
          <w:rFonts w:ascii="Arial" w:hAnsi="Arial" w:cs="Arial"/>
          <w:lang w:val="en-GB"/>
        </w:rPr>
        <w:t xml:space="preserve">actually </w:t>
      </w:r>
      <w:r w:rsidR="002D63FE" w:rsidRPr="00DA4925">
        <w:rPr>
          <w:rFonts w:ascii="Arial" w:hAnsi="Arial" w:cs="Arial"/>
          <w:lang w:val="en-GB"/>
        </w:rPr>
        <w:t>increased by over 3</w:t>
      </w:r>
      <w:r w:rsidR="003C4D56" w:rsidRPr="00DA4925">
        <w:rPr>
          <w:rFonts w:ascii="Arial" w:hAnsi="Arial" w:cs="Arial"/>
          <w:lang w:val="en-GB"/>
        </w:rPr>
        <w:t xml:space="preserve"> percentage points, </w:t>
      </w:r>
      <w:r w:rsidR="002D63FE" w:rsidRPr="00DA4925">
        <w:rPr>
          <w:rFonts w:ascii="Arial" w:hAnsi="Arial" w:cs="Arial"/>
          <w:lang w:val="en-GB"/>
        </w:rPr>
        <w:t xml:space="preserve">from 76% to over </w:t>
      </w:r>
      <w:r w:rsidR="003C4D56" w:rsidRPr="00DA4925">
        <w:rPr>
          <w:rFonts w:ascii="Arial" w:hAnsi="Arial" w:cs="Arial"/>
          <w:lang w:val="en-GB"/>
        </w:rPr>
        <w:t xml:space="preserve">79%, </w:t>
      </w:r>
      <w:r w:rsidR="002D63FE" w:rsidRPr="00DA4925">
        <w:rPr>
          <w:rFonts w:ascii="Arial" w:hAnsi="Arial" w:cs="Arial"/>
          <w:lang w:val="en-GB"/>
        </w:rPr>
        <w:t>and we are now ranked 8</w:t>
      </w:r>
      <w:r w:rsidR="002D63FE" w:rsidRPr="00DA4925">
        <w:rPr>
          <w:rFonts w:ascii="Arial" w:hAnsi="Arial" w:cs="Arial"/>
          <w:vertAlign w:val="superscript"/>
          <w:lang w:val="en-GB"/>
        </w:rPr>
        <w:t>th</w:t>
      </w:r>
      <w:r w:rsidR="002D63FE" w:rsidRPr="00DA4925">
        <w:rPr>
          <w:rFonts w:ascii="Arial" w:hAnsi="Arial" w:cs="Arial"/>
          <w:lang w:val="en-GB"/>
        </w:rPr>
        <w:t xml:space="preserve"> of all 32 Scottish councils, up 10 places from 18</w:t>
      </w:r>
      <w:r w:rsidR="002D63FE" w:rsidRPr="00DA4925">
        <w:rPr>
          <w:rFonts w:ascii="Arial" w:hAnsi="Arial" w:cs="Arial"/>
          <w:vertAlign w:val="superscript"/>
          <w:lang w:val="en-GB"/>
        </w:rPr>
        <w:t>th</w:t>
      </w:r>
      <w:r w:rsidR="002D63FE" w:rsidRPr="00DA4925">
        <w:rPr>
          <w:rFonts w:ascii="Arial" w:hAnsi="Arial" w:cs="Arial"/>
          <w:lang w:val="en-GB"/>
        </w:rPr>
        <w:t xml:space="preserve"> the previous year.</w:t>
      </w:r>
    </w:p>
    <w:p w:rsidR="00687124" w:rsidRPr="00DA4925" w:rsidRDefault="00687124" w:rsidP="009F4EF9">
      <w:pPr>
        <w:spacing w:after="0" w:line="240" w:lineRule="auto"/>
        <w:rPr>
          <w:rFonts w:ascii="Arial" w:hAnsi="Arial" w:cs="Arial"/>
          <w:lang w:val="en-GB"/>
        </w:rPr>
      </w:pPr>
    </w:p>
    <w:p w:rsidR="000C5485" w:rsidRPr="00DA4925" w:rsidRDefault="00067C76" w:rsidP="009F4EF9">
      <w:pPr>
        <w:spacing w:after="0" w:line="240" w:lineRule="auto"/>
        <w:rPr>
          <w:rFonts w:ascii="Arial" w:hAnsi="Arial" w:cs="Arial"/>
          <w:b/>
          <w:u w:val="single"/>
          <w:lang w:val="en-GB"/>
        </w:rPr>
      </w:pPr>
      <w:bookmarkStart w:id="3" w:name="_Toc450646320"/>
      <w:r w:rsidRPr="00DA4925">
        <w:rPr>
          <w:rFonts w:ascii="Arial" w:hAnsi="Arial" w:cs="Arial"/>
          <w:b/>
          <w:u w:val="single"/>
          <w:lang w:val="en-GB"/>
        </w:rPr>
        <w:t xml:space="preserve">Service Users’ </w:t>
      </w:r>
      <w:r w:rsidR="000C5485" w:rsidRPr="00DA4925">
        <w:rPr>
          <w:rFonts w:ascii="Arial" w:hAnsi="Arial" w:cs="Arial"/>
          <w:b/>
          <w:u w:val="single"/>
          <w:lang w:val="en-GB"/>
        </w:rPr>
        <w:t>Feedback</w:t>
      </w:r>
    </w:p>
    <w:p w:rsidR="000C5485" w:rsidRPr="00DA4925" w:rsidRDefault="000C5485" w:rsidP="009F4EF9">
      <w:pPr>
        <w:spacing w:after="0" w:line="240" w:lineRule="auto"/>
        <w:rPr>
          <w:rFonts w:ascii="Arial" w:hAnsi="Arial" w:cs="Arial"/>
          <w:b/>
          <w:u w:val="single"/>
          <w:lang w:val="en-GB"/>
        </w:rPr>
      </w:pPr>
    </w:p>
    <w:p w:rsidR="000C5485" w:rsidRPr="00DA4925" w:rsidRDefault="000C5485" w:rsidP="009C1BFC">
      <w:pPr>
        <w:pStyle w:val="BodyText"/>
        <w:tabs>
          <w:tab w:val="left" w:pos="840"/>
        </w:tabs>
        <w:spacing w:after="0" w:line="240" w:lineRule="auto"/>
        <w:ind w:right="170"/>
        <w:rPr>
          <w:rFonts w:ascii="Arial" w:hAnsi="Arial" w:cs="Arial"/>
        </w:rPr>
      </w:pPr>
      <w:r w:rsidRPr="00DA4925">
        <w:rPr>
          <w:rFonts w:ascii="Arial" w:hAnsi="Arial" w:cs="Arial"/>
        </w:rPr>
        <w:t xml:space="preserve">The Council has a clear focus on learning from the feedback we receive from our </w:t>
      </w:r>
      <w:r w:rsidR="00067C76" w:rsidRPr="00DA4925">
        <w:rPr>
          <w:rFonts w:ascii="Arial" w:hAnsi="Arial" w:cs="Arial"/>
        </w:rPr>
        <w:t>service users</w:t>
      </w:r>
      <w:r w:rsidRPr="00DA4925">
        <w:rPr>
          <w:rFonts w:ascii="Arial" w:hAnsi="Arial" w:cs="Arial"/>
        </w:rPr>
        <w:t xml:space="preserve">. Our complaints data, </w:t>
      </w:r>
      <w:r w:rsidR="00A02071" w:rsidRPr="00DA4925">
        <w:rPr>
          <w:rFonts w:ascii="Arial" w:hAnsi="Arial" w:cs="Arial"/>
        </w:rPr>
        <w:t xml:space="preserve">residents’ </w:t>
      </w:r>
      <w:r w:rsidRPr="00DA4925">
        <w:rPr>
          <w:rFonts w:ascii="Arial" w:hAnsi="Arial" w:cs="Arial"/>
        </w:rPr>
        <w:t>telephone surveys</w:t>
      </w:r>
      <w:r w:rsidR="00A02071" w:rsidRPr="00DA4925">
        <w:rPr>
          <w:rFonts w:ascii="Arial" w:hAnsi="Arial" w:cs="Arial"/>
        </w:rPr>
        <w:t xml:space="preserve"> </w:t>
      </w:r>
      <w:r w:rsidRPr="00DA4925">
        <w:rPr>
          <w:rFonts w:ascii="Arial" w:hAnsi="Arial" w:cs="Arial"/>
        </w:rPr>
        <w:t>and a range of other mechanisms provide invaluable feedback to help us improve our services.</w:t>
      </w:r>
    </w:p>
    <w:p w:rsidR="009F4EF9" w:rsidRPr="00DA4925" w:rsidRDefault="009F4EF9" w:rsidP="009C1BFC">
      <w:pPr>
        <w:pStyle w:val="BodyText"/>
        <w:tabs>
          <w:tab w:val="left" w:pos="841"/>
        </w:tabs>
        <w:spacing w:after="0" w:line="240" w:lineRule="auto"/>
        <w:ind w:right="172"/>
        <w:rPr>
          <w:rFonts w:ascii="Arial" w:hAnsi="Arial" w:cs="Arial"/>
          <w:b/>
          <w:spacing w:val="-1"/>
        </w:rPr>
      </w:pPr>
    </w:p>
    <w:p w:rsidR="000C5485" w:rsidRPr="00DA4925" w:rsidRDefault="000C5485" w:rsidP="009C1BFC">
      <w:pPr>
        <w:pStyle w:val="BodyText"/>
        <w:tabs>
          <w:tab w:val="left" w:pos="841"/>
        </w:tabs>
        <w:spacing w:after="0" w:line="240" w:lineRule="auto"/>
        <w:ind w:right="172"/>
        <w:rPr>
          <w:rFonts w:ascii="Arial" w:hAnsi="Arial" w:cs="Arial"/>
          <w:b/>
          <w:spacing w:val="-1"/>
        </w:rPr>
      </w:pPr>
      <w:r w:rsidRPr="00DA4925">
        <w:rPr>
          <w:rFonts w:ascii="Arial" w:hAnsi="Arial" w:cs="Arial"/>
          <w:b/>
          <w:spacing w:val="-1"/>
        </w:rPr>
        <w:t>Complaints</w:t>
      </w:r>
    </w:p>
    <w:p w:rsidR="009F4EF9" w:rsidRPr="00DA4925" w:rsidRDefault="009F4EF9" w:rsidP="009C1BFC">
      <w:pPr>
        <w:pStyle w:val="BodyText"/>
        <w:tabs>
          <w:tab w:val="left" w:pos="841"/>
        </w:tabs>
        <w:spacing w:after="0" w:line="240" w:lineRule="auto"/>
        <w:ind w:right="172"/>
        <w:rPr>
          <w:rFonts w:ascii="Arial" w:hAnsi="Arial" w:cs="Arial"/>
          <w:spacing w:val="-1"/>
        </w:rPr>
      </w:pPr>
    </w:p>
    <w:p w:rsidR="007742A5" w:rsidRPr="00DA4925" w:rsidRDefault="00C017B9" w:rsidP="002E1EEF">
      <w:pPr>
        <w:spacing w:after="0" w:line="240" w:lineRule="auto"/>
        <w:rPr>
          <w:rFonts w:ascii="Arial" w:hAnsi="Arial" w:cs="Arial"/>
        </w:rPr>
      </w:pPr>
      <w:r w:rsidRPr="00DA4925">
        <w:rPr>
          <w:rFonts w:ascii="Arial" w:hAnsi="Arial" w:cs="Arial"/>
        </w:rPr>
        <w:t xml:space="preserve">Every year, </w:t>
      </w:r>
      <w:r w:rsidR="007742A5" w:rsidRPr="00DA4925">
        <w:rPr>
          <w:rFonts w:ascii="Arial" w:hAnsi="Arial" w:cs="Arial"/>
        </w:rPr>
        <w:t>Environment and Neighbourhood services are involved in millions of service interactions. Every quarter, for example, there are over 1 million bin collections. The scale of Environment and Neighbourhood</w:t>
      </w:r>
      <w:r w:rsidRPr="00DA4925">
        <w:rPr>
          <w:rFonts w:ascii="Arial" w:hAnsi="Arial" w:cs="Arial"/>
        </w:rPr>
        <w:t>’s</w:t>
      </w:r>
      <w:r w:rsidR="007742A5" w:rsidRPr="00DA4925">
        <w:rPr>
          <w:rFonts w:ascii="Arial" w:hAnsi="Arial" w:cs="Arial"/>
        </w:rPr>
        <w:t xml:space="preserve"> </w:t>
      </w:r>
      <w:r w:rsidRPr="00DA4925">
        <w:rPr>
          <w:rFonts w:ascii="Arial" w:hAnsi="Arial" w:cs="Arial"/>
        </w:rPr>
        <w:t xml:space="preserve">service </w:t>
      </w:r>
      <w:r w:rsidR="007742A5" w:rsidRPr="00DA4925">
        <w:rPr>
          <w:rFonts w:ascii="Arial" w:hAnsi="Arial" w:cs="Arial"/>
        </w:rPr>
        <w:t>interactions provides important context to the complaints data that follows.</w:t>
      </w:r>
    </w:p>
    <w:p w:rsidR="00D03AF0" w:rsidRPr="00DA4925" w:rsidRDefault="00D03AF0" w:rsidP="002E1EEF">
      <w:pPr>
        <w:spacing w:after="0" w:line="240" w:lineRule="auto"/>
        <w:rPr>
          <w:rFonts w:ascii="Arial" w:hAnsi="Arial" w:cs="Arial"/>
        </w:rPr>
      </w:pPr>
    </w:p>
    <w:p w:rsidR="007742A5" w:rsidRPr="00DA4925" w:rsidRDefault="007742A5" w:rsidP="002E1EEF">
      <w:pPr>
        <w:spacing w:after="0" w:line="240" w:lineRule="auto"/>
        <w:rPr>
          <w:rFonts w:ascii="Arial" w:hAnsi="Arial" w:cs="Arial"/>
        </w:rPr>
      </w:pPr>
      <w:r w:rsidRPr="00DA4925">
        <w:rPr>
          <w:rFonts w:ascii="Arial" w:hAnsi="Arial" w:cs="Arial"/>
        </w:rPr>
        <w:t xml:space="preserve">Between 1 April </w:t>
      </w:r>
      <w:r w:rsidR="00D044E2" w:rsidRPr="00DA4925">
        <w:rPr>
          <w:rFonts w:ascii="Arial" w:hAnsi="Arial" w:cs="Arial"/>
        </w:rPr>
        <w:t xml:space="preserve">2016 </w:t>
      </w:r>
      <w:r w:rsidRPr="00DA4925">
        <w:rPr>
          <w:rFonts w:ascii="Arial" w:hAnsi="Arial" w:cs="Arial"/>
        </w:rPr>
        <w:t xml:space="preserve">and </w:t>
      </w:r>
      <w:r w:rsidR="00D044E2" w:rsidRPr="00DA4925">
        <w:rPr>
          <w:rFonts w:ascii="Arial" w:hAnsi="Arial" w:cs="Arial"/>
        </w:rPr>
        <w:t xml:space="preserve">31 March 2017, </w:t>
      </w:r>
      <w:r w:rsidR="00B8391F" w:rsidRPr="00DA4925">
        <w:rPr>
          <w:rFonts w:ascii="Arial" w:hAnsi="Arial" w:cs="Arial"/>
        </w:rPr>
        <w:t>Environment and Neighbourhood</w:t>
      </w:r>
      <w:r w:rsidRPr="00DA4925">
        <w:rPr>
          <w:rFonts w:ascii="Arial" w:hAnsi="Arial" w:cs="Arial"/>
        </w:rPr>
        <w:t xml:space="preserve"> service</w:t>
      </w:r>
      <w:r w:rsidR="00C218FC" w:rsidRPr="00DA4925">
        <w:rPr>
          <w:rFonts w:ascii="Arial" w:hAnsi="Arial" w:cs="Arial"/>
        </w:rPr>
        <w:t xml:space="preserve">s </w:t>
      </w:r>
      <w:r w:rsidRPr="00DA4925">
        <w:rPr>
          <w:rFonts w:ascii="Arial" w:hAnsi="Arial" w:cs="Arial"/>
        </w:rPr>
        <w:t xml:space="preserve">received a total of </w:t>
      </w:r>
      <w:r w:rsidR="00D044E2" w:rsidRPr="00DA4925">
        <w:rPr>
          <w:rFonts w:ascii="Arial" w:hAnsi="Arial" w:cs="Arial"/>
        </w:rPr>
        <w:t>136</w:t>
      </w:r>
      <w:r w:rsidRPr="00DA4925">
        <w:rPr>
          <w:rFonts w:ascii="Arial" w:hAnsi="Arial" w:cs="Arial"/>
        </w:rPr>
        <w:t xml:space="preserve"> complaints, comprising </w:t>
      </w:r>
      <w:r w:rsidR="00D044E2" w:rsidRPr="00DA4925">
        <w:rPr>
          <w:rFonts w:ascii="Arial" w:hAnsi="Arial" w:cs="Arial"/>
        </w:rPr>
        <w:t xml:space="preserve">130 </w:t>
      </w:r>
      <w:r w:rsidRPr="00DA4925">
        <w:rPr>
          <w:rFonts w:ascii="Arial" w:hAnsi="Arial" w:cs="Arial"/>
        </w:rPr>
        <w:t xml:space="preserve">Stage 1 and </w:t>
      </w:r>
      <w:r w:rsidR="00D044E2" w:rsidRPr="00DA4925">
        <w:rPr>
          <w:rFonts w:ascii="Arial" w:hAnsi="Arial" w:cs="Arial"/>
        </w:rPr>
        <w:t xml:space="preserve">6 </w:t>
      </w:r>
      <w:r w:rsidRPr="00DA4925">
        <w:rPr>
          <w:rFonts w:ascii="Arial" w:hAnsi="Arial" w:cs="Arial"/>
        </w:rPr>
        <w:t xml:space="preserve">Stage 2 complaints.  During the same period, </w:t>
      </w:r>
      <w:r w:rsidR="00D044E2" w:rsidRPr="00DA4925">
        <w:rPr>
          <w:rFonts w:ascii="Arial" w:hAnsi="Arial" w:cs="Arial"/>
        </w:rPr>
        <w:t>124</w:t>
      </w:r>
      <w:r w:rsidRPr="00DA4925">
        <w:rPr>
          <w:rFonts w:ascii="Arial" w:hAnsi="Arial" w:cs="Arial"/>
        </w:rPr>
        <w:t xml:space="preserve"> complaints were closed, </w:t>
      </w:r>
      <w:r w:rsidR="00D044E2" w:rsidRPr="00DA4925">
        <w:rPr>
          <w:rFonts w:ascii="Arial" w:hAnsi="Arial" w:cs="Arial"/>
        </w:rPr>
        <w:t>117</w:t>
      </w:r>
      <w:r w:rsidRPr="00DA4925">
        <w:rPr>
          <w:rFonts w:ascii="Arial" w:hAnsi="Arial" w:cs="Arial"/>
        </w:rPr>
        <w:t xml:space="preserve"> at Stage 1 and </w:t>
      </w:r>
      <w:r w:rsidR="00D044E2" w:rsidRPr="00DA4925">
        <w:rPr>
          <w:rFonts w:ascii="Arial" w:hAnsi="Arial" w:cs="Arial"/>
        </w:rPr>
        <w:t>7</w:t>
      </w:r>
      <w:r w:rsidRPr="00DA4925">
        <w:rPr>
          <w:rFonts w:ascii="Arial" w:hAnsi="Arial" w:cs="Arial"/>
        </w:rPr>
        <w:t xml:space="preserve"> at Stage 2.</w:t>
      </w:r>
    </w:p>
    <w:p w:rsidR="00D03AF0" w:rsidRPr="00DA4925" w:rsidRDefault="00D03AF0" w:rsidP="002E1EEF">
      <w:pPr>
        <w:spacing w:after="0" w:line="240" w:lineRule="auto"/>
        <w:rPr>
          <w:rFonts w:ascii="Arial" w:hAnsi="Arial" w:cs="Arial"/>
        </w:rPr>
      </w:pPr>
    </w:p>
    <w:p w:rsidR="007742A5" w:rsidRPr="00DA4925" w:rsidRDefault="00D044E2" w:rsidP="002E1EEF">
      <w:pPr>
        <w:spacing w:after="0" w:line="240" w:lineRule="auto"/>
        <w:rPr>
          <w:rFonts w:ascii="Arial" w:hAnsi="Arial" w:cs="Arial"/>
        </w:rPr>
      </w:pPr>
      <w:r w:rsidRPr="00DA4925">
        <w:rPr>
          <w:rFonts w:ascii="Arial" w:hAnsi="Arial" w:cs="Arial"/>
        </w:rPr>
        <w:t xml:space="preserve">82 (70%) </w:t>
      </w:r>
      <w:r w:rsidR="007742A5" w:rsidRPr="00DA4925">
        <w:rPr>
          <w:rFonts w:ascii="Arial" w:hAnsi="Arial" w:cs="Arial"/>
        </w:rPr>
        <w:t>of complaints closed at Stage 1 met the 5 working days t</w:t>
      </w:r>
      <w:r w:rsidR="00C218FC" w:rsidRPr="00DA4925">
        <w:rPr>
          <w:rFonts w:ascii="Arial" w:hAnsi="Arial" w:cs="Arial"/>
        </w:rPr>
        <w:t xml:space="preserve">arget for resolving complaints, </w:t>
      </w:r>
      <w:r w:rsidRPr="00DA4925">
        <w:rPr>
          <w:rFonts w:ascii="Arial" w:hAnsi="Arial" w:cs="Arial"/>
        </w:rPr>
        <w:t>with an average of 6 days for all Stage 1 complaints.</w:t>
      </w:r>
      <w:r w:rsidR="007742A5" w:rsidRPr="00DA4925">
        <w:rPr>
          <w:rFonts w:ascii="Arial" w:hAnsi="Arial" w:cs="Arial"/>
        </w:rPr>
        <w:t xml:space="preserve">  Of the </w:t>
      </w:r>
      <w:r w:rsidRPr="00DA4925">
        <w:rPr>
          <w:rFonts w:ascii="Arial" w:hAnsi="Arial" w:cs="Arial"/>
        </w:rPr>
        <w:t>7</w:t>
      </w:r>
      <w:r w:rsidR="007742A5" w:rsidRPr="00DA4925">
        <w:rPr>
          <w:rFonts w:ascii="Arial" w:hAnsi="Arial" w:cs="Arial"/>
        </w:rPr>
        <w:t xml:space="preserve"> complaints closed at Stage 2, </w:t>
      </w:r>
      <w:r w:rsidRPr="00DA4925">
        <w:rPr>
          <w:rFonts w:ascii="Arial" w:hAnsi="Arial" w:cs="Arial"/>
        </w:rPr>
        <w:t>4</w:t>
      </w:r>
      <w:r w:rsidR="007742A5" w:rsidRPr="00DA4925">
        <w:rPr>
          <w:rFonts w:ascii="Arial" w:hAnsi="Arial" w:cs="Arial"/>
        </w:rPr>
        <w:t xml:space="preserve"> (</w:t>
      </w:r>
      <w:r w:rsidRPr="00DA4925">
        <w:rPr>
          <w:rFonts w:ascii="Arial" w:hAnsi="Arial" w:cs="Arial"/>
        </w:rPr>
        <w:t>57</w:t>
      </w:r>
      <w:r w:rsidR="007742A5" w:rsidRPr="00DA4925">
        <w:rPr>
          <w:rFonts w:ascii="Arial" w:hAnsi="Arial" w:cs="Arial"/>
        </w:rPr>
        <w:t xml:space="preserve">%) were resolved within the 20 working days target, with an average of </w:t>
      </w:r>
      <w:r w:rsidRPr="00DA4925">
        <w:rPr>
          <w:rFonts w:ascii="Arial" w:hAnsi="Arial" w:cs="Arial"/>
        </w:rPr>
        <w:t>18</w:t>
      </w:r>
      <w:r w:rsidR="007742A5" w:rsidRPr="00DA4925">
        <w:rPr>
          <w:rFonts w:ascii="Arial" w:hAnsi="Arial" w:cs="Arial"/>
        </w:rPr>
        <w:t xml:space="preserve"> days </w:t>
      </w:r>
      <w:r w:rsidRPr="00DA4925">
        <w:rPr>
          <w:rFonts w:ascii="Arial" w:hAnsi="Arial" w:cs="Arial"/>
        </w:rPr>
        <w:t xml:space="preserve">for all </w:t>
      </w:r>
      <w:r w:rsidR="007742A5" w:rsidRPr="00DA4925">
        <w:rPr>
          <w:rFonts w:ascii="Arial" w:hAnsi="Arial" w:cs="Arial"/>
        </w:rPr>
        <w:t>Stage 2</w:t>
      </w:r>
      <w:r w:rsidRPr="00DA4925">
        <w:rPr>
          <w:rFonts w:ascii="Arial" w:hAnsi="Arial" w:cs="Arial"/>
        </w:rPr>
        <w:t xml:space="preserve"> complaints</w:t>
      </w:r>
      <w:r w:rsidR="007742A5" w:rsidRPr="00DA4925">
        <w:rPr>
          <w:rFonts w:ascii="Arial" w:hAnsi="Arial" w:cs="Arial"/>
        </w:rPr>
        <w:t>.</w:t>
      </w:r>
    </w:p>
    <w:p w:rsidR="00D044E2" w:rsidRPr="00DA4925" w:rsidRDefault="00D044E2" w:rsidP="002E1EEF">
      <w:pPr>
        <w:spacing w:after="0" w:line="240" w:lineRule="auto"/>
        <w:rPr>
          <w:rFonts w:ascii="Arial" w:hAnsi="Arial" w:cs="Arial"/>
        </w:rPr>
      </w:pPr>
    </w:p>
    <w:p w:rsidR="007742A5" w:rsidRPr="00DA4925" w:rsidRDefault="007742A5" w:rsidP="002E1EEF">
      <w:pPr>
        <w:spacing w:after="0" w:line="240" w:lineRule="auto"/>
        <w:rPr>
          <w:rFonts w:ascii="Arial" w:hAnsi="Arial" w:cs="Arial"/>
        </w:rPr>
      </w:pPr>
      <w:r w:rsidRPr="00DA4925">
        <w:rPr>
          <w:rFonts w:ascii="Arial" w:hAnsi="Arial" w:cs="Arial"/>
        </w:rPr>
        <w:t xml:space="preserve">Of the </w:t>
      </w:r>
      <w:r w:rsidR="00D044E2" w:rsidRPr="00DA4925">
        <w:rPr>
          <w:rFonts w:ascii="Arial" w:hAnsi="Arial" w:cs="Arial"/>
        </w:rPr>
        <w:t>117</w:t>
      </w:r>
      <w:r w:rsidRPr="00DA4925">
        <w:rPr>
          <w:rFonts w:ascii="Arial" w:hAnsi="Arial" w:cs="Arial"/>
        </w:rPr>
        <w:t xml:space="preserve"> complaints closed at Stage 1, </w:t>
      </w:r>
      <w:r w:rsidR="00D044E2" w:rsidRPr="00DA4925">
        <w:rPr>
          <w:rFonts w:ascii="Arial" w:hAnsi="Arial" w:cs="Arial"/>
        </w:rPr>
        <w:t>70</w:t>
      </w:r>
      <w:r w:rsidRPr="00DA4925">
        <w:rPr>
          <w:rFonts w:ascii="Arial" w:hAnsi="Arial" w:cs="Arial"/>
        </w:rPr>
        <w:t xml:space="preserve"> were upheld (6</w:t>
      </w:r>
      <w:r w:rsidR="00D044E2" w:rsidRPr="00DA4925">
        <w:rPr>
          <w:rFonts w:ascii="Arial" w:hAnsi="Arial" w:cs="Arial"/>
        </w:rPr>
        <w:t>0</w:t>
      </w:r>
      <w:r w:rsidRPr="00DA4925">
        <w:rPr>
          <w:rFonts w:ascii="Arial" w:hAnsi="Arial" w:cs="Arial"/>
        </w:rPr>
        <w:t xml:space="preserve">%), while 2 of the </w:t>
      </w:r>
      <w:r w:rsidR="00D044E2" w:rsidRPr="00DA4925">
        <w:rPr>
          <w:rFonts w:ascii="Arial" w:hAnsi="Arial" w:cs="Arial"/>
        </w:rPr>
        <w:t>7</w:t>
      </w:r>
      <w:r w:rsidRPr="00DA4925">
        <w:rPr>
          <w:rFonts w:ascii="Arial" w:hAnsi="Arial" w:cs="Arial"/>
        </w:rPr>
        <w:t xml:space="preserve"> complaint</w:t>
      </w:r>
      <w:r w:rsidR="00D044E2" w:rsidRPr="00DA4925">
        <w:rPr>
          <w:rFonts w:ascii="Arial" w:hAnsi="Arial" w:cs="Arial"/>
        </w:rPr>
        <w:t xml:space="preserve">s closed at Stage 2 were upheld </w:t>
      </w:r>
      <w:r w:rsidRPr="00DA4925">
        <w:rPr>
          <w:rFonts w:ascii="Arial" w:hAnsi="Arial" w:cs="Arial"/>
        </w:rPr>
        <w:t>(</w:t>
      </w:r>
      <w:r w:rsidR="00D044E2" w:rsidRPr="00DA4925">
        <w:rPr>
          <w:rFonts w:ascii="Arial" w:hAnsi="Arial" w:cs="Arial"/>
        </w:rPr>
        <w:t>29</w:t>
      </w:r>
      <w:r w:rsidRPr="00DA4925">
        <w:rPr>
          <w:rFonts w:ascii="Arial" w:hAnsi="Arial" w:cs="Arial"/>
        </w:rPr>
        <w:t>%).</w:t>
      </w:r>
    </w:p>
    <w:p w:rsidR="002E1EEF" w:rsidRPr="00DA4925" w:rsidRDefault="002E1EEF" w:rsidP="002E1EEF">
      <w:pPr>
        <w:spacing w:after="0" w:line="240" w:lineRule="auto"/>
        <w:rPr>
          <w:rFonts w:ascii="Arial" w:hAnsi="Arial" w:cs="Arial"/>
          <w:lang w:val="en-GB"/>
        </w:rPr>
      </w:pPr>
    </w:p>
    <w:p w:rsidR="00E34926" w:rsidRPr="00DA4925" w:rsidRDefault="00E34926" w:rsidP="00E34926">
      <w:pPr>
        <w:spacing w:after="0" w:line="240" w:lineRule="auto"/>
        <w:rPr>
          <w:rFonts w:ascii="Arial" w:hAnsi="Arial" w:cs="Arial"/>
          <w:b/>
          <w:spacing w:val="-1"/>
          <w:u w:val="single"/>
        </w:rPr>
      </w:pPr>
      <w:r w:rsidRPr="00DA4925">
        <w:rPr>
          <w:rFonts w:ascii="Arial" w:hAnsi="Arial" w:cs="Arial"/>
          <w:lang w:val="en-GB"/>
        </w:rPr>
        <w:t xml:space="preserve">The complaints received in 2016/17 highlighted a small number of specific learning points for Environment &amp; Neighbourhood and we will be looking at ways to address these in 2017/18. In addition, we will </w:t>
      </w:r>
      <w:r w:rsidR="00C218FC" w:rsidRPr="00DA4925">
        <w:rPr>
          <w:rFonts w:ascii="Arial" w:hAnsi="Arial" w:cs="Arial"/>
          <w:lang w:val="en-GB"/>
        </w:rPr>
        <w:t xml:space="preserve">continue to </w:t>
      </w:r>
      <w:r w:rsidRPr="00DA4925">
        <w:rPr>
          <w:rFonts w:ascii="Arial" w:hAnsi="Arial" w:cs="Arial"/>
          <w:lang w:val="en-GB"/>
        </w:rPr>
        <w:t xml:space="preserve">ensure that all relevant staff </w:t>
      </w:r>
      <w:r w:rsidR="005779F1" w:rsidRPr="00DA4925">
        <w:rPr>
          <w:rFonts w:ascii="Arial" w:hAnsi="Arial" w:cs="Arial"/>
          <w:lang w:val="en-GB"/>
        </w:rPr>
        <w:t>receive</w:t>
      </w:r>
      <w:r w:rsidRPr="00DA4925">
        <w:rPr>
          <w:rFonts w:ascii="Arial" w:hAnsi="Arial" w:cs="Arial"/>
          <w:lang w:val="en-GB"/>
        </w:rPr>
        <w:t xml:space="preserve"> customer service standards training.</w:t>
      </w:r>
    </w:p>
    <w:p w:rsidR="00EA3645" w:rsidRPr="00DA4925" w:rsidRDefault="00EA3645" w:rsidP="009F4EF9">
      <w:pPr>
        <w:pStyle w:val="BodyText"/>
        <w:spacing w:after="0" w:line="240" w:lineRule="auto"/>
        <w:rPr>
          <w:rFonts w:ascii="Arial" w:hAnsi="Arial" w:cs="Arial"/>
          <w:b/>
          <w:spacing w:val="-1"/>
          <w:u w:val="single"/>
        </w:rPr>
      </w:pPr>
    </w:p>
    <w:p w:rsidR="00A02071" w:rsidRPr="00DA4925" w:rsidRDefault="00A02071" w:rsidP="00A02071">
      <w:pPr>
        <w:spacing w:after="0" w:line="240" w:lineRule="auto"/>
        <w:rPr>
          <w:rFonts w:ascii="Arial" w:hAnsi="Arial"/>
          <w:b/>
          <w:lang w:val="en-GB"/>
        </w:rPr>
      </w:pPr>
      <w:r w:rsidRPr="00DA4925">
        <w:rPr>
          <w:rFonts w:ascii="Arial" w:hAnsi="Arial"/>
          <w:b/>
          <w:lang w:val="en-GB"/>
        </w:rPr>
        <w:t>Residents’ Telephone Survey</w:t>
      </w:r>
    </w:p>
    <w:p w:rsidR="00A02071" w:rsidRPr="00DA4925" w:rsidRDefault="00A02071" w:rsidP="00A02071">
      <w:pPr>
        <w:spacing w:after="0" w:line="240" w:lineRule="auto"/>
        <w:rPr>
          <w:rFonts w:ascii="Arial" w:hAnsi="Arial"/>
          <w:lang w:val="en-GB"/>
        </w:rPr>
      </w:pPr>
    </w:p>
    <w:p w:rsidR="00A02071" w:rsidRPr="00DA4925" w:rsidRDefault="00511E9F" w:rsidP="00A02071">
      <w:pPr>
        <w:spacing w:after="0" w:line="240" w:lineRule="auto"/>
        <w:rPr>
          <w:rFonts w:ascii="Arial" w:hAnsi="Arial"/>
          <w:lang w:val="en-GB"/>
        </w:rPr>
      </w:pPr>
      <w:r w:rsidRPr="00DA4925">
        <w:rPr>
          <w:rFonts w:ascii="Arial" w:hAnsi="Arial"/>
          <w:lang w:val="en-GB"/>
        </w:rPr>
        <w:t>The Environment &amp; Neighbourhood services of street cleaning, waste, roads maintenance, and leisure and community centres are all covered by a monthly telephone survey of 100 residents.</w:t>
      </w:r>
    </w:p>
    <w:p w:rsidR="00511E9F" w:rsidRPr="00DA4925" w:rsidRDefault="00511E9F" w:rsidP="00A02071">
      <w:pPr>
        <w:spacing w:after="0" w:line="240" w:lineRule="auto"/>
        <w:rPr>
          <w:rFonts w:ascii="Arial" w:hAnsi="Arial"/>
          <w:lang w:val="en-GB"/>
        </w:rPr>
      </w:pPr>
    </w:p>
    <w:p w:rsidR="00A02071" w:rsidRPr="00DA4925" w:rsidRDefault="00A02071" w:rsidP="00A02071">
      <w:pPr>
        <w:spacing w:after="0" w:line="240" w:lineRule="auto"/>
        <w:rPr>
          <w:rFonts w:ascii="Arial" w:hAnsi="Arial"/>
          <w:lang w:val="en-GB"/>
        </w:rPr>
      </w:pPr>
      <w:r w:rsidRPr="00DA4925">
        <w:rPr>
          <w:rFonts w:ascii="Arial" w:hAnsi="Arial"/>
          <w:lang w:val="en-GB"/>
        </w:rPr>
        <w:t>In</w:t>
      </w:r>
      <w:r w:rsidR="008849A1" w:rsidRPr="00DA4925">
        <w:rPr>
          <w:rFonts w:ascii="Arial" w:hAnsi="Arial"/>
          <w:lang w:val="en-GB"/>
        </w:rPr>
        <w:t xml:space="preserve"> the 2016 calendar year</w:t>
      </w:r>
      <w:r w:rsidRPr="00DA4925">
        <w:rPr>
          <w:rFonts w:ascii="Arial" w:hAnsi="Arial"/>
          <w:lang w:val="en-GB"/>
        </w:rPr>
        <w:t>, satisfaction with street cleaning was 83%, up from 7</w:t>
      </w:r>
      <w:r w:rsidR="008849A1" w:rsidRPr="00DA4925">
        <w:rPr>
          <w:rFonts w:ascii="Arial" w:hAnsi="Arial"/>
          <w:lang w:val="en-GB"/>
        </w:rPr>
        <w:t>7</w:t>
      </w:r>
      <w:r w:rsidRPr="00DA4925">
        <w:rPr>
          <w:rFonts w:ascii="Arial" w:hAnsi="Arial"/>
          <w:lang w:val="en-GB"/>
        </w:rPr>
        <w:t xml:space="preserve">% the previous </w:t>
      </w:r>
      <w:r w:rsidR="008849A1" w:rsidRPr="00DA4925">
        <w:rPr>
          <w:rFonts w:ascii="Arial" w:hAnsi="Arial"/>
          <w:lang w:val="en-GB"/>
        </w:rPr>
        <w:t>year</w:t>
      </w:r>
      <w:r w:rsidRPr="00DA4925">
        <w:rPr>
          <w:rFonts w:ascii="Arial" w:hAnsi="Arial"/>
          <w:lang w:val="en-GB"/>
        </w:rPr>
        <w:t xml:space="preserve">. </w:t>
      </w:r>
      <w:r w:rsidR="008849A1" w:rsidRPr="00DA4925">
        <w:rPr>
          <w:rFonts w:ascii="Arial" w:hAnsi="Arial"/>
          <w:lang w:val="en-GB"/>
        </w:rPr>
        <w:t xml:space="preserve">Satisfaction </w:t>
      </w:r>
      <w:r w:rsidRPr="00DA4925">
        <w:rPr>
          <w:rFonts w:ascii="Arial" w:hAnsi="Arial"/>
          <w:lang w:val="en-GB"/>
        </w:rPr>
        <w:t xml:space="preserve">with waste services was down </w:t>
      </w:r>
      <w:r w:rsidR="008849A1" w:rsidRPr="00DA4925">
        <w:rPr>
          <w:rFonts w:ascii="Arial" w:hAnsi="Arial"/>
          <w:lang w:val="en-GB"/>
        </w:rPr>
        <w:t>slightly from 93% to 92% but remains high. Similarly, there was a slight decrease in satisfaction with leisure and community centres, from 89% to 87%. Satisfaction i</w:t>
      </w:r>
      <w:r w:rsidR="00165C01" w:rsidRPr="00DA4925">
        <w:rPr>
          <w:rFonts w:ascii="Arial" w:hAnsi="Arial"/>
          <w:lang w:val="en-GB"/>
        </w:rPr>
        <w:t xml:space="preserve">n roads maintenance remains low </w:t>
      </w:r>
      <w:r w:rsidR="008849A1" w:rsidRPr="00DA4925">
        <w:rPr>
          <w:rFonts w:ascii="Arial" w:hAnsi="Arial"/>
          <w:lang w:val="en-GB"/>
        </w:rPr>
        <w:t>in comparison with other services, falling from 44% in 2015 to 40% in 2016.</w:t>
      </w:r>
    </w:p>
    <w:p w:rsidR="00C218FC" w:rsidRPr="00DA4925" w:rsidRDefault="00C218FC">
      <w:pPr>
        <w:spacing w:after="0" w:line="240" w:lineRule="auto"/>
        <w:rPr>
          <w:rFonts w:ascii="Arial" w:hAnsi="Arial" w:cs="Arial"/>
          <w:b/>
          <w:spacing w:val="-1"/>
          <w:u w:val="single"/>
        </w:rPr>
      </w:pPr>
      <w:r w:rsidRPr="00DA4925">
        <w:rPr>
          <w:rFonts w:ascii="Arial" w:hAnsi="Arial" w:cs="Arial"/>
          <w:b/>
          <w:spacing w:val="-1"/>
          <w:u w:val="single"/>
        </w:rPr>
        <w:br w:type="page"/>
      </w:r>
    </w:p>
    <w:p w:rsidR="000C5485" w:rsidRPr="00DA4925" w:rsidRDefault="000C5485" w:rsidP="009F4EF9">
      <w:pPr>
        <w:pStyle w:val="BodyText"/>
        <w:spacing w:after="0" w:line="240" w:lineRule="auto"/>
        <w:rPr>
          <w:rFonts w:ascii="Arial" w:hAnsi="Arial" w:cs="Arial"/>
          <w:b/>
          <w:u w:val="single"/>
        </w:rPr>
      </w:pPr>
      <w:r w:rsidRPr="00DA4925">
        <w:rPr>
          <w:rFonts w:ascii="Arial" w:hAnsi="Arial" w:cs="Arial"/>
          <w:b/>
          <w:spacing w:val="-1"/>
          <w:u w:val="single"/>
        </w:rPr>
        <w:lastRenderedPageBreak/>
        <w:t>Self-Evaluation</w:t>
      </w:r>
      <w:r w:rsidRPr="00DA4925">
        <w:rPr>
          <w:rFonts w:ascii="Arial" w:hAnsi="Arial" w:cs="Arial"/>
          <w:b/>
          <w:spacing w:val="-29"/>
          <w:u w:val="single"/>
        </w:rPr>
        <w:t xml:space="preserve"> </w:t>
      </w:r>
      <w:r w:rsidRPr="00DA4925">
        <w:rPr>
          <w:rFonts w:ascii="Arial" w:hAnsi="Arial" w:cs="Arial"/>
          <w:b/>
          <w:spacing w:val="-1"/>
          <w:u w:val="single"/>
        </w:rPr>
        <w:t>Programme</w:t>
      </w:r>
    </w:p>
    <w:p w:rsidR="009F4EF9" w:rsidRPr="00DA4925" w:rsidRDefault="009F4EF9" w:rsidP="009F4EF9">
      <w:pPr>
        <w:pStyle w:val="BodyText"/>
        <w:spacing w:after="0" w:line="240" w:lineRule="auto"/>
        <w:ind w:right="172"/>
        <w:rPr>
          <w:rFonts w:ascii="Arial" w:hAnsi="Arial" w:cs="Arial"/>
        </w:rPr>
      </w:pPr>
    </w:p>
    <w:p w:rsidR="000C5485" w:rsidRPr="00DA4925" w:rsidRDefault="000C5485" w:rsidP="009F4EF9">
      <w:pPr>
        <w:pStyle w:val="BodyText"/>
        <w:spacing w:after="0" w:line="240" w:lineRule="auto"/>
        <w:ind w:right="172"/>
        <w:rPr>
          <w:rFonts w:ascii="Arial" w:hAnsi="Arial" w:cs="Arial"/>
        </w:rPr>
      </w:pPr>
      <w:r w:rsidRPr="00DA4925">
        <w:rPr>
          <w:rFonts w:ascii="Arial" w:hAnsi="Arial" w:cs="Arial"/>
        </w:rPr>
        <w:t>The</w:t>
      </w:r>
      <w:r w:rsidRPr="00DA4925">
        <w:rPr>
          <w:rFonts w:ascii="Arial" w:hAnsi="Arial" w:cs="Arial"/>
          <w:spacing w:val="-6"/>
        </w:rPr>
        <w:t xml:space="preserve"> </w:t>
      </w:r>
      <w:r w:rsidRPr="00DA4925">
        <w:rPr>
          <w:rFonts w:ascii="Arial" w:hAnsi="Arial" w:cs="Arial"/>
          <w:spacing w:val="-1"/>
        </w:rPr>
        <w:t>Council</w:t>
      </w:r>
      <w:r w:rsidRPr="00DA4925">
        <w:rPr>
          <w:rFonts w:ascii="Arial" w:hAnsi="Arial" w:cs="Arial"/>
          <w:spacing w:val="-8"/>
        </w:rPr>
        <w:t xml:space="preserve"> </w:t>
      </w:r>
      <w:r w:rsidRPr="00DA4925">
        <w:rPr>
          <w:rFonts w:ascii="Arial" w:hAnsi="Arial" w:cs="Arial"/>
        </w:rPr>
        <w:t>has</w:t>
      </w:r>
      <w:r w:rsidRPr="00DA4925">
        <w:rPr>
          <w:rFonts w:ascii="Arial" w:hAnsi="Arial" w:cs="Arial"/>
          <w:spacing w:val="-9"/>
        </w:rPr>
        <w:t xml:space="preserve"> </w:t>
      </w:r>
      <w:r w:rsidRPr="00DA4925">
        <w:rPr>
          <w:rFonts w:ascii="Arial" w:hAnsi="Arial" w:cs="Arial"/>
          <w:spacing w:val="-1"/>
        </w:rPr>
        <w:t>agreed</w:t>
      </w:r>
      <w:r w:rsidRPr="00DA4925">
        <w:rPr>
          <w:rFonts w:ascii="Arial" w:hAnsi="Arial" w:cs="Arial"/>
          <w:spacing w:val="-6"/>
        </w:rPr>
        <w:t xml:space="preserve"> </w:t>
      </w:r>
      <w:r w:rsidRPr="00DA4925">
        <w:rPr>
          <w:rFonts w:ascii="Arial" w:hAnsi="Arial" w:cs="Arial"/>
        </w:rPr>
        <w:t>a</w:t>
      </w:r>
      <w:r w:rsidRPr="00DA4925">
        <w:rPr>
          <w:rFonts w:ascii="Arial" w:hAnsi="Arial" w:cs="Arial"/>
          <w:spacing w:val="-5"/>
        </w:rPr>
        <w:t xml:space="preserve"> </w:t>
      </w:r>
      <w:r w:rsidRPr="00DA4925">
        <w:rPr>
          <w:rFonts w:ascii="Arial" w:hAnsi="Arial" w:cs="Arial"/>
          <w:spacing w:val="-1"/>
        </w:rPr>
        <w:t>three</w:t>
      </w:r>
      <w:r w:rsidRPr="00DA4925">
        <w:rPr>
          <w:rFonts w:ascii="Arial" w:hAnsi="Arial" w:cs="Arial"/>
          <w:spacing w:val="-6"/>
        </w:rPr>
        <w:t xml:space="preserve"> </w:t>
      </w:r>
      <w:r w:rsidRPr="00DA4925">
        <w:rPr>
          <w:rFonts w:ascii="Arial" w:hAnsi="Arial" w:cs="Arial"/>
          <w:spacing w:val="-1"/>
        </w:rPr>
        <w:t>year</w:t>
      </w:r>
      <w:r w:rsidRPr="00DA4925">
        <w:rPr>
          <w:rFonts w:ascii="Arial" w:hAnsi="Arial" w:cs="Arial"/>
          <w:spacing w:val="-8"/>
        </w:rPr>
        <w:t xml:space="preserve"> </w:t>
      </w:r>
      <w:r w:rsidRPr="00DA4925">
        <w:rPr>
          <w:rFonts w:ascii="Arial" w:hAnsi="Arial" w:cs="Arial"/>
          <w:spacing w:val="-1"/>
        </w:rPr>
        <w:t>self-evaluation</w:t>
      </w:r>
      <w:r w:rsidRPr="00DA4925">
        <w:rPr>
          <w:rFonts w:ascii="Arial" w:hAnsi="Arial" w:cs="Arial"/>
          <w:spacing w:val="-5"/>
        </w:rPr>
        <w:t xml:space="preserve"> </w:t>
      </w:r>
      <w:r w:rsidRPr="00DA4925">
        <w:rPr>
          <w:rFonts w:ascii="Arial" w:hAnsi="Arial" w:cs="Arial"/>
          <w:spacing w:val="-1"/>
        </w:rPr>
        <w:t>programme using a checklist approach implemented through an online survey. Over</w:t>
      </w:r>
      <w:r w:rsidRPr="00DA4925">
        <w:rPr>
          <w:rFonts w:ascii="Arial" w:hAnsi="Arial" w:cs="Arial"/>
          <w:spacing w:val="-8"/>
        </w:rPr>
        <w:t xml:space="preserve"> </w:t>
      </w:r>
      <w:r w:rsidRPr="00DA4925">
        <w:rPr>
          <w:rFonts w:ascii="Arial" w:hAnsi="Arial" w:cs="Arial"/>
        </w:rPr>
        <w:t>the</w:t>
      </w:r>
      <w:r w:rsidRPr="00DA4925">
        <w:rPr>
          <w:rFonts w:ascii="Arial" w:hAnsi="Arial" w:cs="Arial"/>
          <w:spacing w:val="45"/>
          <w:w w:val="99"/>
        </w:rPr>
        <w:t xml:space="preserve"> </w:t>
      </w:r>
      <w:r w:rsidRPr="00DA4925">
        <w:rPr>
          <w:rFonts w:ascii="Arial" w:hAnsi="Arial" w:cs="Arial"/>
          <w:spacing w:val="-1"/>
        </w:rPr>
        <w:t>three</w:t>
      </w:r>
      <w:r w:rsidRPr="00DA4925">
        <w:rPr>
          <w:rFonts w:ascii="Arial" w:hAnsi="Arial" w:cs="Arial"/>
          <w:spacing w:val="-5"/>
        </w:rPr>
        <w:t xml:space="preserve"> </w:t>
      </w:r>
      <w:r w:rsidRPr="00DA4925">
        <w:rPr>
          <w:rFonts w:ascii="Arial" w:hAnsi="Arial" w:cs="Arial"/>
          <w:spacing w:val="-1"/>
        </w:rPr>
        <w:t>year</w:t>
      </w:r>
      <w:r w:rsidRPr="00DA4925">
        <w:rPr>
          <w:rFonts w:ascii="Arial" w:hAnsi="Arial" w:cs="Arial"/>
          <w:spacing w:val="-7"/>
        </w:rPr>
        <w:t xml:space="preserve"> </w:t>
      </w:r>
      <w:r w:rsidRPr="00DA4925">
        <w:rPr>
          <w:rFonts w:ascii="Arial" w:hAnsi="Arial" w:cs="Arial"/>
          <w:spacing w:val="-1"/>
        </w:rPr>
        <w:t>programme,</w:t>
      </w:r>
      <w:r w:rsidRPr="00DA4925">
        <w:rPr>
          <w:rFonts w:ascii="Arial" w:hAnsi="Arial" w:cs="Arial"/>
          <w:spacing w:val="-7"/>
        </w:rPr>
        <w:t xml:space="preserve"> </w:t>
      </w:r>
      <w:r w:rsidRPr="00DA4925">
        <w:rPr>
          <w:rFonts w:ascii="Arial" w:hAnsi="Arial" w:cs="Arial"/>
          <w:spacing w:val="-1"/>
        </w:rPr>
        <w:t>all</w:t>
      </w:r>
      <w:r w:rsidRPr="00DA4925">
        <w:rPr>
          <w:rFonts w:ascii="Arial" w:hAnsi="Arial" w:cs="Arial"/>
          <w:spacing w:val="-7"/>
        </w:rPr>
        <w:t xml:space="preserve"> </w:t>
      </w:r>
      <w:r w:rsidRPr="00DA4925">
        <w:rPr>
          <w:rFonts w:ascii="Arial" w:hAnsi="Arial" w:cs="Arial"/>
          <w:spacing w:val="-1"/>
        </w:rPr>
        <w:t>Council</w:t>
      </w:r>
      <w:r w:rsidRPr="00DA4925">
        <w:rPr>
          <w:rFonts w:ascii="Arial" w:hAnsi="Arial" w:cs="Arial"/>
          <w:spacing w:val="-6"/>
        </w:rPr>
        <w:t xml:space="preserve"> </w:t>
      </w:r>
      <w:r w:rsidRPr="00DA4925">
        <w:rPr>
          <w:rFonts w:ascii="Arial" w:hAnsi="Arial" w:cs="Arial"/>
          <w:spacing w:val="-1"/>
        </w:rPr>
        <w:t>services</w:t>
      </w:r>
      <w:r w:rsidRPr="00DA4925">
        <w:rPr>
          <w:rFonts w:ascii="Arial" w:hAnsi="Arial" w:cs="Arial"/>
          <w:spacing w:val="-6"/>
        </w:rPr>
        <w:t xml:space="preserve"> </w:t>
      </w:r>
      <w:r w:rsidRPr="00DA4925">
        <w:rPr>
          <w:rFonts w:ascii="Arial" w:hAnsi="Arial" w:cs="Arial"/>
          <w:spacing w:val="-1"/>
        </w:rPr>
        <w:t>that</w:t>
      </w:r>
      <w:r w:rsidRPr="00DA4925">
        <w:rPr>
          <w:rFonts w:ascii="Arial" w:hAnsi="Arial" w:cs="Arial"/>
          <w:spacing w:val="-6"/>
        </w:rPr>
        <w:t xml:space="preserve"> </w:t>
      </w:r>
      <w:r w:rsidRPr="00DA4925">
        <w:rPr>
          <w:rFonts w:ascii="Arial" w:hAnsi="Arial" w:cs="Arial"/>
          <w:spacing w:val="-1"/>
        </w:rPr>
        <w:t>are</w:t>
      </w:r>
      <w:r w:rsidRPr="00DA4925">
        <w:rPr>
          <w:rFonts w:ascii="Arial" w:hAnsi="Arial" w:cs="Arial"/>
          <w:spacing w:val="-6"/>
        </w:rPr>
        <w:t xml:space="preserve"> </w:t>
      </w:r>
      <w:r w:rsidRPr="00DA4925">
        <w:rPr>
          <w:rFonts w:ascii="Arial" w:hAnsi="Arial" w:cs="Arial"/>
        </w:rPr>
        <w:t>not</w:t>
      </w:r>
      <w:r w:rsidRPr="00DA4925">
        <w:rPr>
          <w:rFonts w:ascii="Arial" w:hAnsi="Arial" w:cs="Arial"/>
          <w:spacing w:val="-7"/>
        </w:rPr>
        <w:t xml:space="preserve"> </w:t>
      </w:r>
      <w:r w:rsidRPr="00DA4925">
        <w:rPr>
          <w:rFonts w:ascii="Arial" w:hAnsi="Arial" w:cs="Arial"/>
          <w:spacing w:val="-1"/>
        </w:rPr>
        <w:t>subject</w:t>
      </w:r>
      <w:r w:rsidRPr="00DA4925">
        <w:rPr>
          <w:rFonts w:ascii="Arial" w:hAnsi="Arial" w:cs="Arial"/>
          <w:spacing w:val="-6"/>
        </w:rPr>
        <w:t xml:space="preserve"> </w:t>
      </w:r>
      <w:r w:rsidRPr="00DA4925">
        <w:rPr>
          <w:rFonts w:ascii="Arial" w:hAnsi="Arial" w:cs="Arial"/>
          <w:spacing w:val="-1"/>
        </w:rPr>
        <w:t>to</w:t>
      </w:r>
      <w:r w:rsidRPr="00DA4925">
        <w:rPr>
          <w:rFonts w:ascii="Arial" w:hAnsi="Arial" w:cs="Arial"/>
          <w:spacing w:val="-5"/>
        </w:rPr>
        <w:t xml:space="preserve"> </w:t>
      </w:r>
      <w:r w:rsidRPr="00DA4925">
        <w:rPr>
          <w:rFonts w:ascii="Arial" w:hAnsi="Arial" w:cs="Arial"/>
          <w:spacing w:val="-1"/>
        </w:rPr>
        <w:t>an</w:t>
      </w:r>
      <w:r w:rsidRPr="00DA4925">
        <w:rPr>
          <w:rFonts w:ascii="Arial" w:hAnsi="Arial" w:cs="Arial"/>
          <w:spacing w:val="-7"/>
        </w:rPr>
        <w:t xml:space="preserve"> </w:t>
      </w:r>
      <w:r w:rsidRPr="00DA4925">
        <w:rPr>
          <w:rFonts w:ascii="Arial" w:hAnsi="Arial" w:cs="Arial"/>
          <w:spacing w:val="-1"/>
        </w:rPr>
        <w:t>external</w:t>
      </w:r>
      <w:r w:rsidRPr="00DA4925">
        <w:rPr>
          <w:rFonts w:ascii="Arial" w:hAnsi="Arial" w:cs="Arial"/>
          <w:spacing w:val="63"/>
        </w:rPr>
        <w:t xml:space="preserve"> </w:t>
      </w:r>
      <w:r w:rsidRPr="00DA4925">
        <w:rPr>
          <w:rFonts w:ascii="Arial" w:hAnsi="Arial" w:cs="Arial"/>
          <w:spacing w:val="-1"/>
        </w:rPr>
        <w:t>evaluation</w:t>
      </w:r>
      <w:r w:rsidRPr="00DA4925">
        <w:rPr>
          <w:rFonts w:ascii="Arial" w:hAnsi="Arial" w:cs="Arial"/>
          <w:spacing w:val="-6"/>
        </w:rPr>
        <w:t xml:space="preserve"> </w:t>
      </w:r>
      <w:r w:rsidRPr="00DA4925">
        <w:rPr>
          <w:rFonts w:ascii="Arial" w:hAnsi="Arial" w:cs="Arial"/>
          <w:spacing w:val="-2"/>
        </w:rPr>
        <w:t>will</w:t>
      </w:r>
      <w:r w:rsidRPr="00DA4925">
        <w:rPr>
          <w:rFonts w:ascii="Arial" w:hAnsi="Arial" w:cs="Arial"/>
          <w:spacing w:val="-7"/>
        </w:rPr>
        <w:t xml:space="preserve"> </w:t>
      </w:r>
      <w:r w:rsidRPr="00DA4925">
        <w:rPr>
          <w:rFonts w:ascii="Arial" w:hAnsi="Arial" w:cs="Arial"/>
          <w:spacing w:val="-1"/>
        </w:rPr>
        <w:t>undertake</w:t>
      </w:r>
      <w:r w:rsidRPr="00DA4925">
        <w:rPr>
          <w:rFonts w:ascii="Arial" w:hAnsi="Arial" w:cs="Arial"/>
          <w:spacing w:val="-6"/>
        </w:rPr>
        <w:t xml:space="preserve"> </w:t>
      </w:r>
      <w:r w:rsidRPr="00DA4925">
        <w:rPr>
          <w:rFonts w:ascii="Arial" w:hAnsi="Arial" w:cs="Arial"/>
          <w:spacing w:val="-1"/>
        </w:rPr>
        <w:t>self-evaluation,</w:t>
      </w:r>
      <w:r w:rsidRPr="00DA4925">
        <w:rPr>
          <w:rFonts w:ascii="Arial" w:hAnsi="Arial" w:cs="Arial"/>
          <w:spacing w:val="-6"/>
        </w:rPr>
        <w:t xml:space="preserve"> </w:t>
      </w:r>
      <w:r w:rsidRPr="00DA4925">
        <w:rPr>
          <w:rFonts w:ascii="Arial" w:hAnsi="Arial" w:cs="Arial"/>
          <w:spacing w:val="-1"/>
        </w:rPr>
        <w:t>with</w:t>
      </w:r>
      <w:r w:rsidRPr="00DA4925">
        <w:rPr>
          <w:rFonts w:ascii="Arial" w:hAnsi="Arial" w:cs="Arial"/>
          <w:spacing w:val="-6"/>
        </w:rPr>
        <w:t xml:space="preserve"> </w:t>
      </w:r>
      <w:r w:rsidRPr="00DA4925">
        <w:rPr>
          <w:rFonts w:ascii="Arial" w:hAnsi="Arial" w:cs="Arial"/>
        </w:rPr>
        <w:t>11</w:t>
      </w:r>
      <w:r w:rsidRPr="00DA4925">
        <w:rPr>
          <w:rFonts w:ascii="Arial" w:hAnsi="Arial" w:cs="Arial"/>
          <w:spacing w:val="-4"/>
        </w:rPr>
        <w:t xml:space="preserve"> </w:t>
      </w:r>
      <w:r w:rsidRPr="00DA4925">
        <w:rPr>
          <w:rFonts w:ascii="Arial" w:hAnsi="Arial" w:cs="Arial"/>
          <w:spacing w:val="-1"/>
        </w:rPr>
        <w:t>scheduled</w:t>
      </w:r>
      <w:r w:rsidRPr="00DA4925">
        <w:rPr>
          <w:rFonts w:ascii="Arial" w:hAnsi="Arial" w:cs="Arial"/>
          <w:spacing w:val="-6"/>
        </w:rPr>
        <w:t xml:space="preserve"> </w:t>
      </w:r>
      <w:r w:rsidRPr="00DA4925">
        <w:rPr>
          <w:rFonts w:ascii="Arial" w:hAnsi="Arial" w:cs="Arial"/>
          <w:spacing w:val="-2"/>
        </w:rPr>
        <w:t>in</w:t>
      </w:r>
      <w:r w:rsidRPr="00DA4925">
        <w:rPr>
          <w:rFonts w:ascii="Arial" w:hAnsi="Arial" w:cs="Arial"/>
          <w:spacing w:val="-5"/>
        </w:rPr>
        <w:t xml:space="preserve"> </w:t>
      </w:r>
      <w:r w:rsidRPr="00DA4925">
        <w:rPr>
          <w:rFonts w:ascii="Arial" w:hAnsi="Arial" w:cs="Arial"/>
          <w:spacing w:val="-1"/>
        </w:rPr>
        <w:t>the</w:t>
      </w:r>
      <w:r w:rsidRPr="00DA4925">
        <w:rPr>
          <w:rFonts w:ascii="Arial" w:hAnsi="Arial" w:cs="Arial"/>
          <w:spacing w:val="-8"/>
        </w:rPr>
        <w:t xml:space="preserve"> </w:t>
      </w:r>
      <w:r w:rsidRPr="00DA4925">
        <w:rPr>
          <w:rFonts w:ascii="Arial" w:hAnsi="Arial" w:cs="Arial"/>
          <w:spacing w:val="-1"/>
        </w:rPr>
        <w:t>first</w:t>
      </w:r>
      <w:r w:rsidRPr="00DA4925">
        <w:rPr>
          <w:rFonts w:ascii="Arial" w:hAnsi="Arial" w:cs="Arial"/>
          <w:spacing w:val="-7"/>
        </w:rPr>
        <w:t xml:space="preserve"> </w:t>
      </w:r>
      <w:r w:rsidRPr="00DA4925">
        <w:rPr>
          <w:rFonts w:ascii="Arial" w:hAnsi="Arial" w:cs="Arial"/>
          <w:spacing w:val="-1"/>
        </w:rPr>
        <w:t>year.</w:t>
      </w:r>
    </w:p>
    <w:p w:rsidR="00DC06AF" w:rsidRPr="00DA4925" w:rsidRDefault="00DC06AF" w:rsidP="009F4EF9">
      <w:pPr>
        <w:pStyle w:val="BodyText"/>
        <w:spacing w:after="0" w:line="240" w:lineRule="auto"/>
        <w:ind w:right="402"/>
        <w:rPr>
          <w:rFonts w:ascii="Arial" w:hAnsi="Arial" w:cs="Arial"/>
        </w:rPr>
      </w:pPr>
    </w:p>
    <w:p w:rsidR="000C5485" w:rsidRPr="00DA4925" w:rsidRDefault="000C5485" w:rsidP="009F4EF9">
      <w:pPr>
        <w:pStyle w:val="BodyText"/>
        <w:spacing w:after="0" w:line="240" w:lineRule="auto"/>
        <w:ind w:right="402"/>
        <w:rPr>
          <w:rFonts w:ascii="Arial" w:hAnsi="Arial" w:cs="Arial"/>
          <w:spacing w:val="-1"/>
        </w:rPr>
      </w:pPr>
      <w:r w:rsidRPr="00DA4925">
        <w:rPr>
          <w:rFonts w:ascii="Arial" w:hAnsi="Arial" w:cs="Arial"/>
        </w:rPr>
        <w:t>Within</w:t>
      </w:r>
      <w:r w:rsidRPr="00DA4925">
        <w:rPr>
          <w:rFonts w:ascii="Arial" w:hAnsi="Arial" w:cs="Arial"/>
          <w:spacing w:val="-9"/>
        </w:rPr>
        <w:t xml:space="preserve"> </w:t>
      </w:r>
      <w:r w:rsidRPr="00DA4925">
        <w:rPr>
          <w:rFonts w:ascii="Arial" w:hAnsi="Arial" w:cs="Arial"/>
        </w:rPr>
        <w:t>the</w:t>
      </w:r>
      <w:r w:rsidRPr="00DA4925">
        <w:rPr>
          <w:rFonts w:ascii="Arial" w:hAnsi="Arial" w:cs="Arial"/>
          <w:spacing w:val="-8"/>
        </w:rPr>
        <w:t xml:space="preserve"> </w:t>
      </w:r>
      <w:r w:rsidR="00B8391F" w:rsidRPr="00DA4925">
        <w:rPr>
          <w:rFonts w:ascii="Arial" w:hAnsi="Arial" w:cs="Arial"/>
          <w:spacing w:val="-1"/>
        </w:rPr>
        <w:t>Environment and Neighbourhood</w:t>
      </w:r>
      <w:r w:rsidRPr="00DA4925">
        <w:rPr>
          <w:rFonts w:ascii="Arial" w:hAnsi="Arial" w:cs="Arial"/>
          <w:spacing w:val="-1"/>
        </w:rPr>
        <w:t xml:space="preserve"> service</w:t>
      </w:r>
      <w:r w:rsidRPr="00DA4925">
        <w:rPr>
          <w:rFonts w:ascii="Arial" w:hAnsi="Arial" w:cs="Arial"/>
          <w:spacing w:val="-5"/>
        </w:rPr>
        <w:t xml:space="preserve"> </w:t>
      </w:r>
      <w:r w:rsidRPr="00DA4925">
        <w:rPr>
          <w:rFonts w:ascii="Arial" w:hAnsi="Arial" w:cs="Arial"/>
          <w:spacing w:val="-1"/>
        </w:rPr>
        <w:t>area,</w:t>
      </w:r>
      <w:r w:rsidRPr="00DA4925">
        <w:rPr>
          <w:rFonts w:ascii="Arial" w:hAnsi="Arial" w:cs="Arial"/>
          <w:spacing w:val="-7"/>
        </w:rPr>
        <w:t xml:space="preserve"> </w:t>
      </w:r>
      <w:r w:rsidR="00C017B9" w:rsidRPr="00DA4925">
        <w:rPr>
          <w:rFonts w:ascii="Arial" w:hAnsi="Arial" w:cs="Arial"/>
          <w:spacing w:val="-7"/>
        </w:rPr>
        <w:t xml:space="preserve">a </w:t>
      </w:r>
      <w:r w:rsidR="00DC06AF" w:rsidRPr="00DA4925">
        <w:rPr>
          <w:rFonts w:ascii="Arial" w:hAnsi="Arial" w:cs="Arial"/>
          <w:spacing w:val="-7"/>
        </w:rPr>
        <w:t>self-evaluation</w:t>
      </w:r>
      <w:r w:rsidRPr="00DA4925">
        <w:rPr>
          <w:rFonts w:ascii="Arial" w:hAnsi="Arial" w:cs="Arial"/>
          <w:spacing w:val="-7"/>
        </w:rPr>
        <w:t xml:space="preserve"> </w:t>
      </w:r>
      <w:r w:rsidR="00C017B9" w:rsidRPr="00DA4925">
        <w:rPr>
          <w:rFonts w:ascii="Arial" w:hAnsi="Arial" w:cs="Arial"/>
          <w:spacing w:val="-7"/>
        </w:rPr>
        <w:t>of Facilities Management</w:t>
      </w:r>
      <w:r w:rsidR="00A479A6" w:rsidRPr="00DA4925">
        <w:rPr>
          <w:rFonts w:ascii="Arial" w:hAnsi="Arial" w:cs="Arial"/>
          <w:spacing w:val="-7"/>
        </w:rPr>
        <w:t xml:space="preserve"> </w:t>
      </w:r>
      <w:r w:rsidRPr="00DA4925">
        <w:rPr>
          <w:rFonts w:ascii="Arial" w:hAnsi="Arial" w:cs="Arial"/>
          <w:spacing w:val="-7"/>
        </w:rPr>
        <w:t xml:space="preserve">will </w:t>
      </w:r>
      <w:r w:rsidRPr="00DA4925">
        <w:rPr>
          <w:rFonts w:ascii="Arial" w:hAnsi="Arial" w:cs="Arial"/>
          <w:spacing w:val="-1"/>
        </w:rPr>
        <w:t>begin in November 2017.</w:t>
      </w:r>
      <w:r w:rsidR="001E0334" w:rsidRPr="00DA4925">
        <w:rPr>
          <w:rFonts w:ascii="Arial" w:hAnsi="Arial" w:cs="Arial"/>
          <w:spacing w:val="-1"/>
        </w:rPr>
        <w:t xml:space="preserve"> Fol</w:t>
      </w:r>
      <w:r w:rsidR="004D4E4D" w:rsidRPr="00DA4925">
        <w:rPr>
          <w:rFonts w:ascii="Arial" w:hAnsi="Arial" w:cs="Arial"/>
          <w:spacing w:val="-1"/>
        </w:rPr>
        <w:t xml:space="preserve">lowing completion in early 2018, </w:t>
      </w:r>
      <w:r w:rsidR="001E0334" w:rsidRPr="00DA4925">
        <w:rPr>
          <w:rFonts w:ascii="Arial" w:hAnsi="Arial" w:cs="Arial"/>
          <w:spacing w:val="-1"/>
        </w:rPr>
        <w:t>improvement actions arising from the process will be implemented in 2018/19.</w:t>
      </w:r>
    </w:p>
    <w:p w:rsidR="002454F0" w:rsidRDefault="002454F0" w:rsidP="00870127">
      <w:pPr>
        <w:pStyle w:val="Heading1"/>
        <w:spacing w:before="0" w:after="0" w:line="240" w:lineRule="auto"/>
        <w:rPr>
          <w:sz w:val="22"/>
          <w:szCs w:val="22"/>
          <w:lang w:val="en-GB"/>
        </w:rPr>
      </w:pPr>
    </w:p>
    <w:p w:rsidR="00891100" w:rsidRPr="00DA4925" w:rsidRDefault="00891100" w:rsidP="00870127">
      <w:pPr>
        <w:pStyle w:val="Heading1"/>
        <w:spacing w:before="0" w:after="0" w:line="240" w:lineRule="auto"/>
        <w:rPr>
          <w:sz w:val="22"/>
          <w:szCs w:val="22"/>
          <w:lang w:val="en-GB"/>
        </w:rPr>
      </w:pPr>
      <w:r w:rsidRPr="00DA4925">
        <w:rPr>
          <w:sz w:val="22"/>
          <w:szCs w:val="22"/>
          <w:lang w:val="en-GB"/>
        </w:rPr>
        <w:t>STRATEGIC ASSESSMENT</w:t>
      </w:r>
    </w:p>
    <w:p w:rsidR="00891100" w:rsidRPr="00DA4925" w:rsidRDefault="00891100" w:rsidP="00870127">
      <w:pPr>
        <w:spacing w:after="0" w:line="240" w:lineRule="auto"/>
        <w:rPr>
          <w:rFonts w:ascii="Arial" w:hAnsi="Arial" w:cs="Arial"/>
          <w:b/>
          <w:lang w:val="en-GB"/>
        </w:rPr>
      </w:pPr>
    </w:p>
    <w:p w:rsidR="00891100" w:rsidRPr="00DA4925" w:rsidRDefault="00891100" w:rsidP="00870127">
      <w:pPr>
        <w:spacing w:after="0" w:line="240" w:lineRule="auto"/>
        <w:rPr>
          <w:rFonts w:ascii="Arial" w:hAnsi="Arial" w:cs="Arial"/>
          <w:b/>
          <w:lang w:val="en-GB"/>
        </w:rPr>
      </w:pPr>
      <w:r w:rsidRPr="00DA4925">
        <w:rPr>
          <w:rFonts w:ascii="Arial" w:hAnsi="Arial" w:cs="Arial"/>
          <w:b/>
          <w:lang w:val="en-GB"/>
        </w:rPr>
        <w:t>Financial Challenges</w:t>
      </w:r>
    </w:p>
    <w:p w:rsidR="00C76302" w:rsidRPr="00DA4925" w:rsidRDefault="00C76302" w:rsidP="00870127">
      <w:pPr>
        <w:spacing w:after="0" w:line="240" w:lineRule="auto"/>
        <w:rPr>
          <w:rFonts w:ascii="Arial" w:hAnsi="Arial" w:cs="Arial"/>
          <w:lang w:val="en-GB"/>
        </w:rPr>
      </w:pPr>
    </w:p>
    <w:p w:rsidR="00891100" w:rsidRPr="00DA4925" w:rsidRDefault="00891100" w:rsidP="005B5A9E">
      <w:pPr>
        <w:spacing w:after="0" w:line="240" w:lineRule="auto"/>
        <w:rPr>
          <w:rFonts w:ascii="Arial" w:hAnsi="Arial" w:cs="Arial"/>
          <w:lang w:val="en-GB"/>
        </w:rPr>
      </w:pPr>
      <w:r w:rsidRPr="00DA4925">
        <w:rPr>
          <w:rFonts w:ascii="Arial" w:hAnsi="Arial" w:cs="Arial"/>
          <w:lang w:val="en-GB"/>
        </w:rPr>
        <w:t>The entire public sector is facing significant financial challenges.</w:t>
      </w:r>
    </w:p>
    <w:p w:rsidR="00891100" w:rsidRPr="00DA4925" w:rsidRDefault="00891100" w:rsidP="005B5A9E">
      <w:pPr>
        <w:spacing w:after="0" w:line="240" w:lineRule="auto"/>
        <w:rPr>
          <w:rFonts w:ascii="Arial" w:hAnsi="Arial" w:cs="Arial"/>
          <w:lang w:val="en-GB"/>
        </w:rPr>
      </w:pPr>
    </w:p>
    <w:p w:rsidR="005B5A9E" w:rsidRPr="00DA4925" w:rsidRDefault="005B5A9E" w:rsidP="005B5A9E">
      <w:pPr>
        <w:spacing w:after="0" w:line="240" w:lineRule="auto"/>
        <w:rPr>
          <w:rFonts w:ascii="Arial" w:hAnsi="Arial" w:cs="Arial"/>
          <w:lang w:eastAsia="en-GB"/>
        </w:rPr>
      </w:pPr>
      <w:r w:rsidRPr="00DA4925">
        <w:rPr>
          <w:rFonts w:ascii="Arial" w:hAnsi="Arial" w:cs="Arial"/>
        </w:rPr>
        <w:t xml:space="preserve">The Council’s funding gap </w:t>
      </w:r>
      <w:r w:rsidRPr="00DA4925">
        <w:rPr>
          <w:rFonts w:ascii="Arial" w:hAnsi="Arial" w:cs="Arial"/>
          <w:lang w:eastAsia="en-GB"/>
        </w:rPr>
        <w:t xml:space="preserve">in 2017/18 (i.e. the gap between the funding received from government/council tax payers and the costs of delivering services) has been met through management efficiencies and the use of free reserves. However, the Council is predicting cumulative funding gaps in 2018/19 and 2019/20 of £7.885m and £11.397m respectively. This means that a delivery plan has to be developed to balance our budget, protect Council jobs and deliver services for residents. </w:t>
      </w:r>
    </w:p>
    <w:p w:rsidR="005B5A9E" w:rsidRPr="00DA4925" w:rsidRDefault="005B5A9E" w:rsidP="005B5A9E">
      <w:pPr>
        <w:spacing w:after="0" w:line="240" w:lineRule="auto"/>
        <w:rPr>
          <w:rFonts w:ascii="Arial" w:hAnsi="Arial" w:cs="Arial"/>
          <w:lang w:val="en-GB" w:eastAsia="en-GB"/>
        </w:rPr>
      </w:pPr>
    </w:p>
    <w:p w:rsidR="00891100" w:rsidRPr="00DA4925" w:rsidRDefault="00891100" w:rsidP="005B5A9E">
      <w:pPr>
        <w:spacing w:after="0" w:line="240" w:lineRule="auto"/>
        <w:rPr>
          <w:rFonts w:ascii="Arial" w:hAnsi="Arial" w:cs="Arial"/>
          <w:lang w:val="en-GB" w:eastAsia="en-GB"/>
        </w:rPr>
      </w:pPr>
      <w:r w:rsidRPr="00DA4925">
        <w:rPr>
          <w:rFonts w:ascii="Arial" w:hAnsi="Arial" w:cs="Arial"/>
          <w:lang w:val="en-GB" w:eastAsia="en-GB"/>
        </w:rPr>
        <w:t>These financial challenges impact on services directly and indirectly:</w:t>
      </w:r>
    </w:p>
    <w:p w:rsidR="00891100" w:rsidRPr="00DA4925" w:rsidRDefault="00891100" w:rsidP="00870127">
      <w:pPr>
        <w:spacing w:after="0" w:line="240" w:lineRule="auto"/>
        <w:rPr>
          <w:rFonts w:ascii="Arial" w:hAnsi="Arial" w:cs="Arial"/>
          <w:lang w:val="en-GB" w:eastAsia="en-GB"/>
        </w:rPr>
      </w:pPr>
    </w:p>
    <w:p w:rsidR="00891100" w:rsidRPr="00DA4925" w:rsidRDefault="00891100" w:rsidP="0019210F">
      <w:pPr>
        <w:pStyle w:val="ListParagraph"/>
        <w:numPr>
          <w:ilvl w:val="0"/>
          <w:numId w:val="8"/>
        </w:numPr>
        <w:rPr>
          <w:rFonts w:ascii="Arial" w:hAnsi="Arial" w:cs="Arial"/>
          <w:sz w:val="22"/>
          <w:szCs w:val="22"/>
        </w:rPr>
      </w:pPr>
      <w:r w:rsidRPr="00DA4925">
        <w:rPr>
          <w:rFonts w:ascii="Arial" w:hAnsi="Arial" w:cs="Arial"/>
          <w:sz w:val="22"/>
          <w:szCs w:val="22"/>
        </w:rPr>
        <w:t xml:space="preserve">The budget challenges facing all services in 2018/19 and beyond will determine the future shape and scale of our service provision across the whole of Environment </w:t>
      </w:r>
      <w:r w:rsidR="00B8391F" w:rsidRPr="00DA4925">
        <w:rPr>
          <w:rFonts w:ascii="Arial" w:hAnsi="Arial" w:cs="Arial"/>
          <w:sz w:val="22"/>
          <w:szCs w:val="22"/>
        </w:rPr>
        <w:t>and</w:t>
      </w:r>
      <w:r w:rsidRPr="00DA4925">
        <w:rPr>
          <w:rFonts w:ascii="Arial" w:hAnsi="Arial" w:cs="Arial"/>
          <w:sz w:val="22"/>
          <w:szCs w:val="22"/>
        </w:rPr>
        <w:t xml:space="preserve"> Neighbourhood.</w:t>
      </w:r>
    </w:p>
    <w:p w:rsidR="00891100" w:rsidRPr="00DA4925" w:rsidRDefault="00891100" w:rsidP="0019210F">
      <w:pPr>
        <w:pStyle w:val="ListParagraph"/>
        <w:numPr>
          <w:ilvl w:val="0"/>
          <w:numId w:val="8"/>
        </w:numPr>
        <w:rPr>
          <w:rFonts w:ascii="Arial" w:eastAsiaTheme="minorHAnsi" w:hAnsi="Arial" w:cs="Arial"/>
          <w:sz w:val="22"/>
          <w:szCs w:val="22"/>
        </w:rPr>
      </w:pPr>
      <w:r w:rsidRPr="00DA4925">
        <w:rPr>
          <w:rFonts w:ascii="Arial" w:hAnsi="Arial" w:cs="Arial"/>
          <w:sz w:val="22"/>
          <w:szCs w:val="22"/>
        </w:rPr>
        <w:t xml:space="preserve">£700,000 has been removed from Greenspace revenue budgets over the last 4 years. Options with little or no impact on service delivery have been exhausted. Future options may have a detrimental effect on the appearance of the local environment and </w:t>
      </w:r>
      <w:r w:rsidR="00306F55" w:rsidRPr="00DA4925">
        <w:rPr>
          <w:rFonts w:ascii="Arial" w:hAnsi="Arial" w:cs="Arial"/>
          <w:sz w:val="22"/>
          <w:szCs w:val="22"/>
        </w:rPr>
        <w:t xml:space="preserve">service users’ </w:t>
      </w:r>
      <w:r w:rsidRPr="00DA4925">
        <w:rPr>
          <w:rFonts w:ascii="Arial" w:hAnsi="Arial" w:cs="Arial"/>
          <w:sz w:val="22"/>
          <w:szCs w:val="22"/>
        </w:rPr>
        <w:t>satisfaction levels.</w:t>
      </w:r>
    </w:p>
    <w:p w:rsidR="00891100" w:rsidRPr="00DA4925" w:rsidRDefault="00891100" w:rsidP="0019210F">
      <w:pPr>
        <w:pStyle w:val="ListParagraph"/>
        <w:numPr>
          <w:ilvl w:val="0"/>
          <w:numId w:val="8"/>
        </w:numPr>
        <w:rPr>
          <w:rFonts w:ascii="Arial" w:hAnsi="Arial" w:cs="Arial"/>
          <w:sz w:val="22"/>
          <w:szCs w:val="22"/>
        </w:rPr>
      </w:pPr>
      <w:r w:rsidRPr="00DA4925">
        <w:rPr>
          <w:rFonts w:ascii="Arial" w:hAnsi="Arial" w:cs="Arial"/>
          <w:sz w:val="22"/>
          <w:szCs w:val="22"/>
        </w:rPr>
        <w:t>There is likely to be an impact on service delivery and a consequential effect on a number of the Local Government Benchmarking Framework performance indicators (a set of indicators measured and reported by all Scottish councils.)</w:t>
      </w:r>
    </w:p>
    <w:p w:rsidR="00891100" w:rsidRPr="00DA4925" w:rsidRDefault="00891100" w:rsidP="00870127">
      <w:pPr>
        <w:spacing w:after="0" w:line="240" w:lineRule="auto"/>
        <w:rPr>
          <w:rFonts w:ascii="Arial" w:hAnsi="Arial" w:cs="Arial"/>
          <w:lang w:val="en-GB" w:eastAsia="en-GB"/>
        </w:rPr>
      </w:pPr>
    </w:p>
    <w:p w:rsidR="00891100" w:rsidRPr="00DA4925" w:rsidRDefault="00891100" w:rsidP="00870127">
      <w:pPr>
        <w:spacing w:after="0" w:line="240" w:lineRule="auto"/>
        <w:rPr>
          <w:rFonts w:ascii="Arial" w:hAnsi="Arial" w:cs="Arial"/>
          <w:lang w:val="en-GB" w:eastAsia="en-GB"/>
        </w:rPr>
      </w:pPr>
      <w:r w:rsidRPr="00DA4925">
        <w:rPr>
          <w:rFonts w:ascii="Arial" w:hAnsi="Arial" w:cs="Arial"/>
          <w:lang w:val="en-GB" w:eastAsia="en-GB"/>
        </w:rPr>
        <w:t xml:space="preserve">In response, Environment </w:t>
      </w:r>
      <w:r w:rsidR="00B8391F" w:rsidRPr="00DA4925">
        <w:rPr>
          <w:rFonts w:ascii="Arial" w:hAnsi="Arial" w:cs="Arial"/>
          <w:lang w:val="en-GB" w:eastAsia="en-GB"/>
        </w:rPr>
        <w:t>and</w:t>
      </w:r>
      <w:r w:rsidRPr="00DA4925">
        <w:rPr>
          <w:rFonts w:ascii="Arial" w:hAnsi="Arial" w:cs="Arial"/>
          <w:lang w:val="en-GB" w:eastAsia="en-GB"/>
        </w:rPr>
        <w:t xml:space="preserve"> Neighbourhood will:</w:t>
      </w:r>
    </w:p>
    <w:p w:rsidR="00891100" w:rsidRPr="00DA4925" w:rsidRDefault="00891100" w:rsidP="00870127">
      <w:pPr>
        <w:spacing w:after="0" w:line="240" w:lineRule="auto"/>
        <w:rPr>
          <w:rFonts w:ascii="Arial" w:hAnsi="Arial" w:cs="Arial"/>
          <w:lang w:val="en-GB" w:eastAsia="en-GB"/>
        </w:rPr>
      </w:pPr>
    </w:p>
    <w:p w:rsidR="00891100" w:rsidRPr="00DA4925" w:rsidRDefault="00891100" w:rsidP="0019210F">
      <w:pPr>
        <w:pStyle w:val="ListParagraph"/>
        <w:numPr>
          <w:ilvl w:val="0"/>
          <w:numId w:val="9"/>
        </w:numPr>
        <w:ind w:left="360"/>
        <w:rPr>
          <w:rFonts w:ascii="Arial" w:hAnsi="Arial" w:cs="Arial"/>
          <w:sz w:val="22"/>
          <w:szCs w:val="22"/>
        </w:rPr>
      </w:pPr>
      <w:r w:rsidRPr="00DA4925">
        <w:rPr>
          <w:rFonts w:ascii="Arial" w:hAnsi="Arial" w:cs="Arial"/>
          <w:sz w:val="22"/>
          <w:szCs w:val="22"/>
        </w:rPr>
        <w:t>Undertake a restructure of the Greenspace service for 2017/18 and beyond. This process is well underway and will change and improve the age demographic within Greenspace.</w:t>
      </w:r>
    </w:p>
    <w:p w:rsidR="00891100" w:rsidRPr="00DA4925" w:rsidRDefault="00891100" w:rsidP="0019210F">
      <w:pPr>
        <w:pStyle w:val="ListParagraph"/>
        <w:numPr>
          <w:ilvl w:val="0"/>
          <w:numId w:val="9"/>
        </w:numPr>
        <w:ind w:left="360"/>
        <w:rPr>
          <w:rFonts w:ascii="Arial" w:hAnsi="Arial" w:cs="Arial"/>
          <w:sz w:val="22"/>
          <w:szCs w:val="22"/>
        </w:rPr>
      </w:pPr>
      <w:r w:rsidRPr="00DA4925">
        <w:rPr>
          <w:rFonts w:ascii="Arial" w:hAnsi="Arial" w:cs="Arial"/>
          <w:sz w:val="22"/>
          <w:szCs w:val="22"/>
        </w:rPr>
        <w:t>Increase the use of innovative technologies and processes within Roads &amp; Transportation and Fleet and Waste to streamline service delivery.</w:t>
      </w:r>
    </w:p>
    <w:p w:rsidR="00891100" w:rsidRPr="00DA4925" w:rsidRDefault="00891100" w:rsidP="0019210F">
      <w:pPr>
        <w:pStyle w:val="ListParagraph"/>
        <w:numPr>
          <w:ilvl w:val="0"/>
          <w:numId w:val="5"/>
        </w:numPr>
        <w:rPr>
          <w:rFonts w:ascii="Arial" w:hAnsi="Arial" w:cs="Arial"/>
          <w:sz w:val="22"/>
          <w:szCs w:val="22"/>
        </w:rPr>
      </w:pPr>
      <w:r w:rsidRPr="00DA4925">
        <w:rPr>
          <w:rFonts w:ascii="Arial" w:hAnsi="Arial" w:cs="Arial"/>
          <w:sz w:val="22"/>
          <w:szCs w:val="22"/>
        </w:rPr>
        <w:t>Work in conjunction with other departments to deliver service improvements, in particular the office rationalisation project and the Early Years Strategy.</w:t>
      </w:r>
    </w:p>
    <w:p w:rsidR="00891100" w:rsidRPr="00DA4925" w:rsidRDefault="00891100" w:rsidP="00870127">
      <w:pPr>
        <w:spacing w:after="0" w:line="240" w:lineRule="auto"/>
        <w:rPr>
          <w:rFonts w:ascii="Arial" w:hAnsi="Arial" w:cs="Arial"/>
          <w:b/>
        </w:rPr>
      </w:pPr>
    </w:p>
    <w:p w:rsidR="00FA0A33" w:rsidRPr="00DA4925" w:rsidRDefault="00FA0A33">
      <w:pPr>
        <w:spacing w:after="0" w:line="240" w:lineRule="auto"/>
        <w:rPr>
          <w:rFonts w:ascii="Arial" w:hAnsi="Arial" w:cs="Arial"/>
          <w:b/>
        </w:rPr>
      </w:pPr>
      <w:r w:rsidRPr="00DA4925">
        <w:rPr>
          <w:rFonts w:ascii="Arial" w:hAnsi="Arial" w:cs="Arial"/>
          <w:b/>
        </w:rPr>
        <w:br w:type="page"/>
      </w:r>
    </w:p>
    <w:p w:rsidR="00891100" w:rsidRPr="00DA4925" w:rsidRDefault="00891100" w:rsidP="00870127">
      <w:pPr>
        <w:spacing w:after="0" w:line="240" w:lineRule="auto"/>
        <w:rPr>
          <w:rFonts w:ascii="Arial" w:hAnsi="Arial" w:cs="Arial"/>
          <w:b/>
        </w:rPr>
      </w:pPr>
      <w:r w:rsidRPr="00DA4925">
        <w:rPr>
          <w:rFonts w:ascii="Arial" w:hAnsi="Arial" w:cs="Arial"/>
          <w:b/>
        </w:rPr>
        <w:lastRenderedPageBreak/>
        <w:t>Shared Service</w:t>
      </w:r>
      <w:r w:rsidR="00C76302" w:rsidRPr="00DA4925">
        <w:rPr>
          <w:rFonts w:ascii="Arial" w:hAnsi="Arial" w:cs="Arial"/>
          <w:b/>
        </w:rPr>
        <w:t>s</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 xml:space="preserve">A report was submitted to Council in June 2016 agreeing the formation of a Shared Services Joint Committee with East Dunbartonshire and Inverclyde councils. In the first instance, we are focusing on sharing Roads Services and have developed a strategic business case for consideration. As part of this project we will look at data from other areas within </w:t>
      </w:r>
      <w:r w:rsidR="00B8391F" w:rsidRPr="00DA4925">
        <w:rPr>
          <w:rFonts w:ascii="Arial" w:hAnsi="Arial" w:cs="Arial"/>
        </w:rPr>
        <w:t>Environment and Neighbourhood</w:t>
      </w:r>
      <w:r w:rsidRPr="00DA4925">
        <w:rPr>
          <w:rFonts w:ascii="Arial" w:hAnsi="Arial" w:cs="Arial"/>
        </w:rPr>
        <w:t xml:space="preserve"> to consider the benefits of sharing. The final decision on sharing services rests with West Dunbartonshire Council and will be taken to a future Council for approval.</w:t>
      </w:r>
    </w:p>
    <w:p w:rsidR="00891100" w:rsidRPr="00DA4925" w:rsidRDefault="00891100" w:rsidP="00870127">
      <w:pPr>
        <w:spacing w:after="0" w:line="240" w:lineRule="auto"/>
        <w:rPr>
          <w:rFonts w:ascii="Arial" w:hAnsi="Arial" w:cs="Arial"/>
          <w:b/>
        </w:rPr>
      </w:pPr>
    </w:p>
    <w:p w:rsidR="00891100" w:rsidRPr="00DA4925" w:rsidRDefault="00891100" w:rsidP="00870127">
      <w:pPr>
        <w:spacing w:after="0" w:line="240" w:lineRule="auto"/>
        <w:rPr>
          <w:rFonts w:ascii="Arial" w:hAnsi="Arial" w:cs="Arial"/>
          <w:b/>
        </w:rPr>
      </w:pPr>
      <w:r w:rsidRPr="00DA4925">
        <w:rPr>
          <w:rFonts w:ascii="Arial" w:hAnsi="Arial" w:cs="Arial"/>
          <w:b/>
        </w:rPr>
        <w:t>Structural Changes</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 xml:space="preserve">Following on from the Shared Service review there may be a requirement to review the structure within </w:t>
      </w:r>
      <w:r w:rsidR="00B8391F" w:rsidRPr="00DA4925">
        <w:rPr>
          <w:rFonts w:ascii="Arial" w:hAnsi="Arial" w:cs="Arial"/>
        </w:rPr>
        <w:t>Environment and Neighbourhood</w:t>
      </w:r>
      <w:r w:rsidRPr="00DA4925">
        <w:rPr>
          <w:rFonts w:ascii="Arial" w:hAnsi="Arial" w:cs="Arial"/>
        </w:rPr>
        <w:t xml:space="preserve"> to ensure efficiencies are delivered and the ongoing financial challenges are met within a revised structure.</w:t>
      </w:r>
    </w:p>
    <w:p w:rsidR="00891100" w:rsidRPr="00DA4925" w:rsidRDefault="00891100" w:rsidP="00870127">
      <w:pPr>
        <w:spacing w:after="0" w:line="240" w:lineRule="auto"/>
        <w:rPr>
          <w:rFonts w:ascii="Arial" w:hAnsi="Arial" w:cs="Arial"/>
          <w:b/>
        </w:rPr>
      </w:pPr>
    </w:p>
    <w:p w:rsidR="00891100" w:rsidRPr="00DA4925" w:rsidRDefault="00891100" w:rsidP="00870127">
      <w:pPr>
        <w:spacing w:after="0" w:line="240" w:lineRule="auto"/>
        <w:rPr>
          <w:rFonts w:ascii="Arial" w:hAnsi="Arial" w:cs="Arial"/>
          <w:b/>
        </w:rPr>
      </w:pPr>
      <w:r w:rsidRPr="00DA4925">
        <w:rPr>
          <w:rFonts w:ascii="Arial" w:hAnsi="Arial" w:cs="Arial"/>
          <w:b/>
        </w:rPr>
        <w:t>Staff Resources</w:t>
      </w:r>
    </w:p>
    <w:p w:rsidR="00C76302" w:rsidRPr="00DA4925" w:rsidRDefault="00C76302" w:rsidP="00870127">
      <w:pPr>
        <w:spacing w:after="0" w:line="240" w:lineRule="auto"/>
        <w:rPr>
          <w:rFonts w:ascii="Arial" w:hAnsi="Arial" w:cs="Arial"/>
          <w:b/>
        </w:rPr>
      </w:pPr>
    </w:p>
    <w:p w:rsidR="00891100" w:rsidRPr="00DA4925" w:rsidRDefault="00891100" w:rsidP="00870127">
      <w:pPr>
        <w:spacing w:after="0" w:line="240" w:lineRule="auto"/>
        <w:rPr>
          <w:rFonts w:ascii="Arial" w:hAnsi="Arial" w:cs="Arial"/>
        </w:rPr>
      </w:pPr>
      <w:r w:rsidRPr="00DA4925">
        <w:rPr>
          <w:rFonts w:ascii="Arial" w:hAnsi="Arial" w:cs="Arial"/>
        </w:rPr>
        <w:t xml:space="preserve">The overall staff resource within </w:t>
      </w:r>
      <w:r w:rsidR="00B8391F" w:rsidRPr="00DA4925">
        <w:rPr>
          <w:rFonts w:ascii="Arial" w:hAnsi="Arial" w:cs="Arial"/>
        </w:rPr>
        <w:t>Environment and Neighbourhood</w:t>
      </w:r>
      <w:r w:rsidRPr="00DA4925">
        <w:rPr>
          <w:rFonts w:ascii="Arial" w:hAnsi="Arial" w:cs="Arial"/>
        </w:rPr>
        <w:t xml:space="preserve"> is</w:t>
      </w:r>
      <w:r w:rsidR="00A91B4B" w:rsidRPr="00DA4925">
        <w:rPr>
          <w:rFonts w:ascii="Arial" w:hAnsi="Arial" w:cs="Arial"/>
        </w:rPr>
        <w:t xml:space="preserve"> 615 </w:t>
      </w:r>
      <w:r w:rsidRPr="00DA4925">
        <w:rPr>
          <w:rFonts w:ascii="Arial" w:hAnsi="Arial" w:cs="Arial"/>
        </w:rPr>
        <w:t xml:space="preserve">FTE. While </w:t>
      </w:r>
      <w:r w:rsidR="0081724D" w:rsidRPr="00DA4925">
        <w:rPr>
          <w:rFonts w:ascii="Arial" w:hAnsi="Arial" w:cs="Arial"/>
        </w:rPr>
        <w:t>r</w:t>
      </w:r>
      <w:r w:rsidRPr="00DA4925">
        <w:rPr>
          <w:rFonts w:ascii="Arial" w:hAnsi="Arial" w:cs="Arial"/>
        </w:rPr>
        <w:t>esources are focused on delivering frontline services, Greenspace in particular is leading on an increasing number of large capital projects. A lack of suitably qualified technical staff within the service provides challenges in delivering these projects within agreed timescales.</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The age demographic of the workforce continues to be a challenge with predominantly part-time, female employees in Facilities Management and long serving employees in Roads, Greenspace, and Fleet &amp; Waste. This challenge can result in increased levels of absence.</w:t>
      </w:r>
    </w:p>
    <w:p w:rsidR="005A01FE" w:rsidRPr="00DA4925" w:rsidRDefault="005A01FE" w:rsidP="00870127">
      <w:pPr>
        <w:spacing w:after="0" w:line="240" w:lineRule="auto"/>
        <w:rPr>
          <w:rFonts w:ascii="Arial" w:hAnsi="Arial" w:cs="Arial"/>
          <w:b/>
        </w:rPr>
      </w:pPr>
    </w:p>
    <w:p w:rsidR="00891100" w:rsidRPr="00DA4925" w:rsidRDefault="00891100" w:rsidP="00870127">
      <w:pPr>
        <w:spacing w:after="0" w:line="240" w:lineRule="auto"/>
        <w:rPr>
          <w:rFonts w:ascii="Arial" w:hAnsi="Arial" w:cs="Arial"/>
          <w:b/>
          <w:lang w:val="en-GB" w:eastAsia="en-GB"/>
        </w:rPr>
      </w:pPr>
      <w:r w:rsidRPr="00DA4925">
        <w:rPr>
          <w:rFonts w:ascii="Arial" w:hAnsi="Arial" w:cs="Arial"/>
          <w:b/>
          <w:lang w:val="en-GB" w:eastAsia="en-GB"/>
        </w:rPr>
        <w:t>Charter for Household Recycling in Scotland</w:t>
      </w:r>
    </w:p>
    <w:p w:rsidR="00C76302" w:rsidRPr="00DA4925" w:rsidRDefault="00C76302" w:rsidP="00870127">
      <w:pPr>
        <w:spacing w:after="0" w:line="240" w:lineRule="auto"/>
        <w:rPr>
          <w:rFonts w:ascii="Arial" w:hAnsi="Arial" w:cs="Arial"/>
          <w:lang w:val="en-GB" w:eastAsia="en-GB"/>
        </w:rPr>
      </w:pPr>
    </w:p>
    <w:p w:rsidR="00891100" w:rsidRPr="00DA4925" w:rsidRDefault="00891100" w:rsidP="00870127">
      <w:pPr>
        <w:spacing w:after="0" w:line="240" w:lineRule="auto"/>
        <w:rPr>
          <w:rFonts w:ascii="Arial" w:hAnsi="Arial" w:cs="Arial"/>
          <w:lang w:val="en"/>
        </w:rPr>
      </w:pPr>
      <w:r w:rsidRPr="00DA4925">
        <w:rPr>
          <w:rFonts w:ascii="Arial" w:hAnsi="Arial" w:cs="Arial"/>
          <w:lang w:val="en"/>
        </w:rPr>
        <w:t xml:space="preserve">The Council, as a signatory to the Charter, has declared its intent to provide services that deliver local and national benefits, encouraging high levels of citizen participation in waste prevention, recycling and reuse. </w:t>
      </w:r>
    </w:p>
    <w:p w:rsidR="00891100" w:rsidRPr="00DA4925" w:rsidRDefault="00891100" w:rsidP="00870127">
      <w:pPr>
        <w:spacing w:after="0" w:line="240" w:lineRule="auto"/>
        <w:rPr>
          <w:rFonts w:ascii="Arial" w:hAnsi="Arial" w:cs="Arial"/>
          <w:lang w:val="en"/>
        </w:rPr>
      </w:pPr>
    </w:p>
    <w:p w:rsidR="00891100" w:rsidRPr="00DA4925" w:rsidRDefault="00891100" w:rsidP="00870127">
      <w:pPr>
        <w:spacing w:after="0" w:line="240" w:lineRule="auto"/>
        <w:rPr>
          <w:rFonts w:ascii="Arial" w:hAnsi="Arial" w:cs="Arial"/>
          <w:lang w:val="en"/>
        </w:rPr>
      </w:pPr>
      <w:r w:rsidRPr="00DA4925">
        <w:rPr>
          <w:rFonts w:ascii="Arial" w:hAnsi="Arial" w:cs="Arial"/>
          <w:lang w:val="en"/>
        </w:rPr>
        <w:t xml:space="preserve">The Council has therefore committed to: </w:t>
      </w:r>
    </w:p>
    <w:p w:rsidR="00891100" w:rsidRPr="00DA4925" w:rsidRDefault="00891100" w:rsidP="0019210F">
      <w:pPr>
        <w:pStyle w:val="ListParagraph"/>
        <w:numPr>
          <w:ilvl w:val="0"/>
          <w:numId w:val="4"/>
        </w:numPr>
        <w:ind w:left="360"/>
        <w:rPr>
          <w:rFonts w:ascii="Arial" w:hAnsi="Arial" w:cs="Arial"/>
          <w:sz w:val="22"/>
          <w:szCs w:val="22"/>
          <w:lang w:val="en"/>
        </w:rPr>
      </w:pPr>
      <w:r w:rsidRPr="00DA4925">
        <w:rPr>
          <w:rFonts w:ascii="Arial" w:hAnsi="Arial" w:cs="Arial"/>
          <w:sz w:val="22"/>
          <w:szCs w:val="22"/>
          <w:lang w:val="en"/>
        </w:rPr>
        <w:t xml:space="preserve">Improve household waste and recycling services to maximise the capture of, and improve the quality of, resources from the waste stream, recognising the variations in households types and geography to endeavour that its services meet the needs of all of its citizens. </w:t>
      </w:r>
    </w:p>
    <w:p w:rsidR="00891100" w:rsidRPr="00DA4925" w:rsidRDefault="00891100" w:rsidP="0019210F">
      <w:pPr>
        <w:pStyle w:val="ListParagraph"/>
        <w:numPr>
          <w:ilvl w:val="0"/>
          <w:numId w:val="4"/>
        </w:numPr>
        <w:ind w:left="360"/>
        <w:rPr>
          <w:rFonts w:ascii="Arial" w:hAnsi="Arial" w:cs="Arial"/>
          <w:sz w:val="22"/>
          <w:szCs w:val="22"/>
          <w:lang w:val="en"/>
        </w:rPr>
      </w:pPr>
      <w:r w:rsidRPr="00DA4925">
        <w:rPr>
          <w:rFonts w:ascii="Arial" w:hAnsi="Arial" w:cs="Arial"/>
          <w:sz w:val="22"/>
          <w:szCs w:val="22"/>
          <w:lang w:val="en"/>
        </w:rPr>
        <w:t xml:space="preserve">Encourage its citizens to participate in recycling and reuse services to ensure that they are fully utilised.  </w:t>
      </w:r>
    </w:p>
    <w:p w:rsidR="00891100" w:rsidRPr="00DA4925" w:rsidRDefault="00891100" w:rsidP="0019210F">
      <w:pPr>
        <w:pStyle w:val="ListParagraph"/>
        <w:numPr>
          <w:ilvl w:val="0"/>
          <w:numId w:val="4"/>
        </w:numPr>
        <w:ind w:left="360"/>
        <w:rPr>
          <w:rFonts w:ascii="Arial" w:hAnsi="Arial" w:cs="Arial"/>
          <w:sz w:val="22"/>
          <w:szCs w:val="22"/>
          <w:lang w:val="en"/>
        </w:rPr>
      </w:pPr>
      <w:r w:rsidRPr="00DA4925">
        <w:rPr>
          <w:rFonts w:ascii="Arial" w:hAnsi="Arial" w:cs="Arial"/>
          <w:sz w:val="22"/>
          <w:szCs w:val="22"/>
          <w:lang w:val="en"/>
        </w:rPr>
        <w:t>Operate services so that staff are safe, competent and treated fairly with the skills required to deliver effective and efficient resource management on behalf of its communities.</w:t>
      </w:r>
    </w:p>
    <w:p w:rsidR="00891100" w:rsidRPr="00DA4925" w:rsidRDefault="00891100" w:rsidP="0019210F">
      <w:pPr>
        <w:pStyle w:val="ListParagraph"/>
        <w:numPr>
          <w:ilvl w:val="0"/>
          <w:numId w:val="4"/>
        </w:numPr>
        <w:ind w:left="360"/>
        <w:rPr>
          <w:rFonts w:ascii="Arial" w:hAnsi="Arial" w:cs="Arial"/>
          <w:sz w:val="22"/>
          <w:szCs w:val="22"/>
          <w:lang w:val="en"/>
        </w:rPr>
      </w:pPr>
      <w:r w:rsidRPr="00DA4925">
        <w:rPr>
          <w:rFonts w:ascii="Arial" w:hAnsi="Arial" w:cs="Arial"/>
          <w:sz w:val="22"/>
          <w:szCs w:val="22"/>
          <w:lang w:val="en"/>
        </w:rPr>
        <w:t xml:space="preserve">Develop, agree, implement and review a Code of Practice that enshrines the current best practice to deliver cost effective high-performing recycling services and inform its citizens and community partners about the Charter and Code of Practice       </w:t>
      </w:r>
    </w:p>
    <w:p w:rsidR="00891100" w:rsidRPr="00DA4925" w:rsidRDefault="00891100" w:rsidP="00870127">
      <w:pPr>
        <w:spacing w:after="0" w:line="240" w:lineRule="auto"/>
        <w:rPr>
          <w:rFonts w:ascii="Arial" w:hAnsi="Arial" w:cs="Arial"/>
          <w:lang w:val="en"/>
        </w:rPr>
      </w:pPr>
    </w:p>
    <w:p w:rsidR="00891100" w:rsidRPr="00DA4925" w:rsidRDefault="00891100" w:rsidP="00870127">
      <w:pPr>
        <w:spacing w:after="0" w:line="240" w:lineRule="auto"/>
        <w:rPr>
          <w:rFonts w:ascii="Arial" w:hAnsi="Arial" w:cs="Arial"/>
          <w:lang w:val="en"/>
        </w:rPr>
      </w:pPr>
      <w:r w:rsidRPr="00DA4925">
        <w:rPr>
          <w:rFonts w:ascii="Arial" w:hAnsi="Arial" w:cs="Arial"/>
          <w:lang w:val="en"/>
        </w:rPr>
        <w:t>In 2017/18, the team will develop service delivery options that are compliant with of the Code of Practice for consideration by the IRED Committee.</w:t>
      </w:r>
    </w:p>
    <w:p w:rsidR="00B02BD6" w:rsidRDefault="00B02BD6" w:rsidP="00870127">
      <w:pPr>
        <w:spacing w:after="0" w:line="240" w:lineRule="auto"/>
        <w:rPr>
          <w:rFonts w:ascii="Arial" w:hAnsi="Arial" w:cs="Arial"/>
          <w:b/>
        </w:rPr>
      </w:pPr>
    </w:p>
    <w:p w:rsidR="002454F0" w:rsidRDefault="002454F0" w:rsidP="00870127">
      <w:pPr>
        <w:spacing w:after="0" w:line="240" w:lineRule="auto"/>
        <w:rPr>
          <w:rFonts w:ascii="Arial" w:hAnsi="Arial" w:cs="Arial"/>
          <w:b/>
        </w:rPr>
      </w:pPr>
    </w:p>
    <w:p w:rsidR="002454F0" w:rsidRDefault="002454F0" w:rsidP="00870127">
      <w:pPr>
        <w:spacing w:after="0" w:line="240" w:lineRule="auto"/>
        <w:rPr>
          <w:rFonts w:ascii="Arial" w:hAnsi="Arial" w:cs="Arial"/>
          <w:b/>
        </w:rPr>
      </w:pPr>
    </w:p>
    <w:p w:rsidR="002454F0" w:rsidRPr="00DA4925" w:rsidRDefault="002454F0" w:rsidP="00870127">
      <w:pPr>
        <w:spacing w:after="0" w:line="240" w:lineRule="auto"/>
        <w:rPr>
          <w:rFonts w:ascii="Arial" w:hAnsi="Arial" w:cs="Arial"/>
          <w:b/>
        </w:rPr>
      </w:pPr>
    </w:p>
    <w:p w:rsidR="00891100" w:rsidRPr="00DA4925" w:rsidRDefault="00891100" w:rsidP="00870127">
      <w:pPr>
        <w:spacing w:after="0" w:line="240" w:lineRule="auto"/>
        <w:rPr>
          <w:rFonts w:ascii="Arial" w:hAnsi="Arial" w:cs="Arial"/>
          <w:b/>
        </w:rPr>
      </w:pPr>
      <w:r w:rsidRPr="00DA4925">
        <w:rPr>
          <w:rFonts w:ascii="Arial" w:hAnsi="Arial" w:cs="Arial"/>
          <w:b/>
        </w:rPr>
        <w:lastRenderedPageBreak/>
        <w:t>Legislative Changes: Community Empowerment (Scotland) Act 2015</w:t>
      </w:r>
    </w:p>
    <w:p w:rsidR="00891100" w:rsidRPr="00DA4925" w:rsidRDefault="00891100" w:rsidP="00870127">
      <w:pPr>
        <w:pStyle w:val="Default"/>
        <w:rPr>
          <w:color w:val="auto"/>
          <w:sz w:val="22"/>
          <w:szCs w:val="22"/>
        </w:rPr>
      </w:pPr>
    </w:p>
    <w:p w:rsidR="00891100" w:rsidRPr="00DA4925" w:rsidRDefault="00891100" w:rsidP="00870127">
      <w:pPr>
        <w:pStyle w:val="Default"/>
        <w:rPr>
          <w:b/>
          <w:color w:val="auto"/>
          <w:sz w:val="22"/>
          <w:szCs w:val="22"/>
        </w:rPr>
      </w:pPr>
      <w:r w:rsidRPr="00DA4925">
        <w:rPr>
          <w:color w:val="auto"/>
          <w:sz w:val="22"/>
          <w:szCs w:val="22"/>
        </w:rPr>
        <w:t xml:space="preserve">This Act is a significant step towards communities having greater influence or control over things that matter to them. In relation to </w:t>
      </w:r>
      <w:r w:rsidR="00B8391F" w:rsidRPr="00DA4925">
        <w:rPr>
          <w:color w:val="auto"/>
          <w:sz w:val="22"/>
          <w:szCs w:val="22"/>
        </w:rPr>
        <w:t>Environment and Neighbourhood</w:t>
      </w:r>
      <w:r w:rsidRPr="00DA4925">
        <w:rPr>
          <w:color w:val="auto"/>
          <w:sz w:val="22"/>
          <w:szCs w:val="22"/>
        </w:rPr>
        <w:t>, the Act updates and simplifies the law regarding allotments. Local authorities need to manage waiting lists for allotments and take reasonable steps to address high demand. For instance, people on a waiting list may be provided with a smaller plot, but they can choose to turn this offer down and wait until the standard size of plot becomes available. Councils will also have to seek permission from Scottish Ministers before they sell off land used for allotments or use it for something else. Finally, they will have to report on their allotment provision every year and specify rules for what people can and can’t do on their allotments</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lang w:val="en-GB" w:eastAsia="en-GB"/>
        </w:rPr>
      </w:pPr>
      <w:r w:rsidRPr="00DA4925">
        <w:rPr>
          <w:rFonts w:ascii="Arial" w:hAnsi="Arial" w:cs="Arial"/>
          <w:lang w:val="en-GB" w:eastAsia="en-GB"/>
        </w:rPr>
        <w:t>To address the changes brought about by this legislation, we are investing £400,000 for the provision of allotments over the next two years.</w:t>
      </w:r>
    </w:p>
    <w:p w:rsidR="00891100" w:rsidRPr="00DA4925" w:rsidRDefault="00891100" w:rsidP="00870127">
      <w:pPr>
        <w:spacing w:after="0" w:line="240" w:lineRule="auto"/>
        <w:rPr>
          <w:rFonts w:ascii="Arial" w:hAnsi="Arial" w:cs="Arial"/>
          <w:lang w:val="en-GB" w:eastAsia="en-GB"/>
        </w:rPr>
      </w:pPr>
    </w:p>
    <w:p w:rsidR="00891100" w:rsidRPr="00DA4925" w:rsidRDefault="00891100" w:rsidP="00870127">
      <w:pPr>
        <w:spacing w:after="0" w:line="240" w:lineRule="auto"/>
        <w:rPr>
          <w:rFonts w:ascii="Arial" w:hAnsi="Arial" w:cs="Arial"/>
          <w:b/>
          <w:lang w:val="en-GB" w:eastAsia="en-GB"/>
        </w:rPr>
      </w:pPr>
      <w:r w:rsidRPr="00DA4925">
        <w:rPr>
          <w:rFonts w:ascii="Arial" w:hAnsi="Arial" w:cs="Arial"/>
          <w:b/>
          <w:lang w:val="en-GB" w:eastAsia="en-GB"/>
        </w:rPr>
        <w:t>Climate Chang</w:t>
      </w:r>
      <w:r w:rsidR="00C76302" w:rsidRPr="00DA4925">
        <w:rPr>
          <w:rFonts w:ascii="Arial" w:hAnsi="Arial" w:cs="Arial"/>
          <w:b/>
          <w:lang w:val="en-GB" w:eastAsia="en-GB"/>
        </w:rPr>
        <w:t>e</w:t>
      </w:r>
    </w:p>
    <w:p w:rsidR="00891100" w:rsidRPr="00DA4925" w:rsidRDefault="00891100" w:rsidP="00870127">
      <w:pPr>
        <w:spacing w:after="0" w:line="240" w:lineRule="auto"/>
        <w:rPr>
          <w:rFonts w:ascii="Arial" w:hAnsi="Arial" w:cs="Arial"/>
          <w:b/>
          <w:lang w:val="en-GB" w:eastAsia="en-GB"/>
        </w:rPr>
      </w:pPr>
    </w:p>
    <w:p w:rsidR="00F42ADD" w:rsidRPr="00DA4925" w:rsidRDefault="00B8391F" w:rsidP="00870127">
      <w:pPr>
        <w:spacing w:after="0" w:line="240" w:lineRule="auto"/>
        <w:rPr>
          <w:rFonts w:ascii="Arial" w:hAnsi="Arial" w:cs="Arial"/>
        </w:rPr>
      </w:pPr>
      <w:r w:rsidRPr="00DA4925">
        <w:rPr>
          <w:rFonts w:ascii="Arial" w:hAnsi="Arial" w:cs="Arial"/>
        </w:rPr>
        <w:t>Environment and Neighbourhood</w:t>
      </w:r>
      <w:r w:rsidR="00A22AEE" w:rsidRPr="00DA4925">
        <w:rPr>
          <w:rFonts w:ascii="Arial" w:hAnsi="Arial" w:cs="Arial"/>
        </w:rPr>
        <w:t xml:space="preserve"> has made a significant contribution to the reduction in the Council’s carbon emissions through upgrading street lighting to LEDs, introducing pool cars, improving our recycling performance, and reviewing the composition of the vehicle fleet.</w:t>
      </w:r>
    </w:p>
    <w:p w:rsidR="00891100" w:rsidRPr="00DA4925" w:rsidRDefault="00F42ADD" w:rsidP="00870127">
      <w:pPr>
        <w:spacing w:after="0" w:line="240" w:lineRule="auto"/>
        <w:rPr>
          <w:rFonts w:ascii="Arial" w:hAnsi="Arial" w:cs="Arial"/>
        </w:rPr>
      </w:pPr>
      <w:r w:rsidRPr="00DA4925">
        <w:rPr>
          <w:rFonts w:ascii="Arial" w:hAnsi="Arial" w:cs="Arial"/>
        </w:rPr>
        <w:t xml:space="preserve">While our actions contribute positively to </w:t>
      </w:r>
      <w:r w:rsidR="00A22AEE" w:rsidRPr="00DA4925">
        <w:rPr>
          <w:rFonts w:ascii="Arial" w:hAnsi="Arial" w:cs="Arial"/>
        </w:rPr>
        <w:t>slowing climate change</w:t>
      </w:r>
      <w:r w:rsidRPr="00DA4925">
        <w:rPr>
          <w:rFonts w:ascii="Arial" w:hAnsi="Arial" w:cs="Arial"/>
        </w:rPr>
        <w:t>, it con</w:t>
      </w:r>
      <w:r w:rsidR="00AA08DD" w:rsidRPr="00DA4925">
        <w:rPr>
          <w:rFonts w:ascii="Arial" w:hAnsi="Arial" w:cs="Arial"/>
        </w:rPr>
        <w:t>tinues to have</w:t>
      </w:r>
      <w:r w:rsidR="00891100" w:rsidRPr="00DA4925">
        <w:rPr>
          <w:rFonts w:ascii="Arial" w:hAnsi="Arial" w:cs="Arial"/>
        </w:rPr>
        <w:t xml:space="preserve"> a significant impact on all Council services.</w:t>
      </w:r>
    </w:p>
    <w:p w:rsidR="00D4174E" w:rsidRPr="00DA4925" w:rsidRDefault="00D4174E"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 xml:space="preserve">Responding to </w:t>
      </w:r>
      <w:r w:rsidRPr="00DA4925">
        <w:rPr>
          <w:rFonts w:ascii="Arial" w:hAnsi="Arial" w:cs="Arial"/>
          <w:lang w:val="en-GB" w:eastAsia="en-GB"/>
        </w:rPr>
        <w:t>disruptive weather events (intense rainfall, flooding, storms and high winds)</w:t>
      </w:r>
      <w:r w:rsidRPr="00DA4925">
        <w:rPr>
          <w:rFonts w:ascii="Arial" w:hAnsi="Arial" w:cs="Arial"/>
        </w:rPr>
        <w:t xml:space="preserve"> increases pressure on all resources, (staff, equipment, budgets), impacts on day to day and planned service delivery, and often adversely affects the Council’s reputation.</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The growing season is now nearly 5 weeks longer</w:t>
      </w:r>
      <w:r w:rsidR="00F42ADD" w:rsidRPr="00DA4925">
        <w:rPr>
          <w:rFonts w:ascii="Arial" w:hAnsi="Arial" w:cs="Arial"/>
        </w:rPr>
        <w:t xml:space="preserve">, lasting form </w:t>
      </w:r>
      <w:r w:rsidRPr="00DA4925">
        <w:rPr>
          <w:rFonts w:ascii="Arial" w:hAnsi="Arial" w:cs="Arial"/>
        </w:rPr>
        <w:t>March until November</w:t>
      </w:r>
      <w:r w:rsidR="00F42ADD" w:rsidRPr="00DA4925">
        <w:rPr>
          <w:rFonts w:ascii="Arial" w:hAnsi="Arial" w:cs="Arial"/>
        </w:rPr>
        <w:t xml:space="preserve">. This is impacting </w:t>
      </w:r>
      <w:r w:rsidRPr="00DA4925">
        <w:rPr>
          <w:rFonts w:ascii="Arial" w:hAnsi="Arial" w:cs="Arial"/>
        </w:rPr>
        <w:t>on our resources, including seasonal staff, and how we deliver services effectively and efficiently.</w:t>
      </w:r>
    </w:p>
    <w:p w:rsidR="00AA08DD" w:rsidRPr="00DA4925" w:rsidRDefault="00AA08DD"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Our services must adapt to meet these and other challenges resulting from climate change.</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In 2017/18, we will:</w:t>
      </w:r>
    </w:p>
    <w:p w:rsidR="00891100" w:rsidRPr="00DA4925" w:rsidRDefault="00891100" w:rsidP="0019210F">
      <w:pPr>
        <w:pStyle w:val="ListParagraph"/>
        <w:numPr>
          <w:ilvl w:val="0"/>
          <w:numId w:val="7"/>
        </w:numPr>
        <w:rPr>
          <w:rFonts w:ascii="Arial" w:hAnsi="Arial" w:cs="Arial"/>
          <w:b/>
          <w:sz w:val="22"/>
          <w:szCs w:val="22"/>
          <w:u w:val="single"/>
        </w:rPr>
      </w:pPr>
      <w:r w:rsidRPr="00DA4925">
        <w:rPr>
          <w:rFonts w:ascii="Arial" w:hAnsi="Arial" w:cs="Arial"/>
          <w:sz w:val="22"/>
          <w:szCs w:val="22"/>
        </w:rPr>
        <w:t>hold resilience planning for disruptive weather events</w:t>
      </w:r>
      <w:r w:rsidR="00F42ADD" w:rsidRPr="00DA4925">
        <w:rPr>
          <w:rFonts w:ascii="Arial" w:hAnsi="Arial" w:cs="Arial"/>
          <w:sz w:val="22"/>
          <w:szCs w:val="22"/>
        </w:rPr>
        <w:t>;</w:t>
      </w:r>
    </w:p>
    <w:p w:rsidR="00891100" w:rsidRPr="00DA4925" w:rsidRDefault="00891100" w:rsidP="0019210F">
      <w:pPr>
        <w:pStyle w:val="ListParagraph"/>
        <w:numPr>
          <w:ilvl w:val="0"/>
          <w:numId w:val="7"/>
        </w:numPr>
        <w:rPr>
          <w:rFonts w:ascii="Arial" w:hAnsi="Arial" w:cs="Arial"/>
          <w:b/>
          <w:sz w:val="22"/>
          <w:szCs w:val="22"/>
          <w:u w:val="single"/>
        </w:rPr>
      </w:pPr>
      <w:r w:rsidRPr="00DA4925">
        <w:rPr>
          <w:rFonts w:ascii="Arial" w:hAnsi="Arial" w:cs="Arial"/>
          <w:sz w:val="22"/>
          <w:szCs w:val="22"/>
        </w:rPr>
        <w:t>contribute to raising the awareness for community self-resilience</w:t>
      </w:r>
      <w:r w:rsidR="00F42ADD" w:rsidRPr="00DA4925">
        <w:rPr>
          <w:rFonts w:ascii="Arial" w:hAnsi="Arial" w:cs="Arial"/>
          <w:sz w:val="22"/>
          <w:szCs w:val="22"/>
        </w:rPr>
        <w:t>;</w:t>
      </w:r>
      <w:r w:rsidRPr="00DA4925">
        <w:rPr>
          <w:rFonts w:ascii="Arial" w:hAnsi="Arial" w:cs="Arial"/>
          <w:sz w:val="22"/>
          <w:szCs w:val="22"/>
        </w:rPr>
        <w:t xml:space="preserve"> and</w:t>
      </w:r>
    </w:p>
    <w:p w:rsidR="00891100" w:rsidRPr="00DA4925" w:rsidRDefault="00891100" w:rsidP="0019210F">
      <w:pPr>
        <w:pStyle w:val="ListParagraph"/>
        <w:numPr>
          <w:ilvl w:val="0"/>
          <w:numId w:val="7"/>
        </w:numPr>
        <w:rPr>
          <w:rFonts w:ascii="Arial" w:hAnsi="Arial" w:cs="Arial"/>
          <w:b/>
          <w:sz w:val="22"/>
          <w:szCs w:val="22"/>
        </w:rPr>
      </w:pPr>
      <w:r w:rsidRPr="00DA4925">
        <w:rPr>
          <w:rFonts w:ascii="Arial" w:hAnsi="Arial" w:cs="Arial"/>
          <w:sz w:val="22"/>
          <w:szCs w:val="22"/>
        </w:rPr>
        <w:t>further develop Flood Prevention Schemes for areas identified as potentially vulnerable.</w:t>
      </w:r>
    </w:p>
    <w:p w:rsidR="00A22AEE" w:rsidRPr="00DA4925" w:rsidRDefault="00A22AEE"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b/>
        </w:rPr>
      </w:pPr>
      <w:r w:rsidRPr="00DA4925">
        <w:rPr>
          <w:rFonts w:ascii="Arial" w:hAnsi="Arial" w:cs="Arial"/>
          <w:b/>
        </w:rPr>
        <w:t>Schools Estate</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rPr>
      </w:pPr>
      <w:r w:rsidRPr="00DA4925">
        <w:rPr>
          <w:rFonts w:ascii="Arial" w:hAnsi="Arial" w:cs="Arial"/>
        </w:rPr>
        <w:t>We provide a range of services to ensure that the Schools Estate operates effectively. The services have been reviewed and rationalized to ensure a fit for purpose</w:t>
      </w:r>
      <w:r w:rsidR="00F42ADD" w:rsidRPr="00DA4925">
        <w:rPr>
          <w:rFonts w:ascii="Arial" w:hAnsi="Arial" w:cs="Arial"/>
        </w:rPr>
        <w:t>,</w:t>
      </w:r>
      <w:r w:rsidRPr="00DA4925">
        <w:rPr>
          <w:rFonts w:ascii="Arial" w:hAnsi="Arial" w:cs="Arial"/>
        </w:rPr>
        <w:t xml:space="preserve"> value for money provision is made in each premises. The opportunities arising fr</w:t>
      </w:r>
      <w:r w:rsidR="00F42ADD" w:rsidRPr="00DA4925">
        <w:rPr>
          <w:rFonts w:ascii="Arial" w:hAnsi="Arial" w:cs="Arial"/>
        </w:rPr>
        <w:t>om rationalis</w:t>
      </w:r>
      <w:r w:rsidRPr="00DA4925">
        <w:rPr>
          <w:rFonts w:ascii="Arial" w:hAnsi="Arial" w:cs="Arial"/>
        </w:rPr>
        <w:t xml:space="preserve">ing </w:t>
      </w:r>
      <w:r w:rsidR="00F42ADD" w:rsidRPr="00DA4925">
        <w:rPr>
          <w:rFonts w:ascii="Arial" w:hAnsi="Arial" w:cs="Arial"/>
        </w:rPr>
        <w:t>s</w:t>
      </w:r>
      <w:r w:rsidRPr="00DA4925">
        <w:rPr>
          <w:rFonts w:ascii="Arial" w:hAnsi="Arial" w:cs="Arial"/>
        </w:rPr>
        <w:t xml:space="preserve">chools has assisted in delivering savings and as part of the process has increased the availability for community use. </w:t>
      </w:r>
    </w:p>
    <w:p w:rsidR="00891100" w:rsidRPr="00DA4925" w:rsidRDefault="00891100" w:rsidP="00870127">
      <w:pPr>
        <w:spacing w:after="0" w:line="240" w:lineRule="auto"/>
        <w:rPr>
          <w:rFonts w:ascii="Arial" w:hAnsi="Arial" w:cs="Arial"/>
        </w:rPr>
      </w:pPr>
    </w:p>
    <w:p w:rsidR="00891100" w:rsidRPr="00DA4925" w:rsidRDefault="00891100" w:rsidP="00870127">
      <w:pPr>
        <w:spacing w:after="0" w:line="240" w:lineRule="auto"/>
        <w:rPr>
          <w:rFonts w:ascii="Arial" w:hAnsi="Arial" w:cs="Arial"/>
          <w:lang w:val="en-GB"/>
        </w:rPr>
      </w:pPr>
      <w:r w:rsidRPr="00DA4925">
        <w:rPr>
          <w:rFonts w:ascii="Arial" w:hAnsi="Arial" w:cs="Arial"/>
        </w:rPr>
        <w:t xml:space="preserve">An important role for </w:t>
      </w:r>
      <w:r w:rsidR="00B8391F" w:rsidRPr="00DA4925">
        <w:rPr>
          <w:rFonts w:ascii="Arial" w:hAnsi="Arial" w:cs="Arial"/>
        </w:rPr>
        <w:t>Environment and Neighbourhood</w:t>
      </w:r>
      <w:r w:rsidRPr="00DA4925">
        <w:rPr>
          <w:rFonts w:ascii="Arial" w:hAnsi="Arial" w:cs="Arial"/>
        </w:rPr>
        <w:t xml:space="preserve"> is assisting in the development of the Early Years Strategy which will have a significant impact on existing and new premises and will increase the facility management input into this service.</w:t>
      </w:r>
    </w:p>
    <w:p w:rsidR="00891100" w:rsidRPr="00DA4925" w:rsidRDefault="00891100" w:rsidP="00870127">
      <w:pPr>
        <w:spacing w:after="0" w:line="240" w:lineRule="auto"/>
        <w:rPr>
          <w:rFonts w:ascii="Arial" w:hAnsi="Arial" w:cs="Arial"/>
          <w:lang w:val="en-GB"/>
        </w:rPr>
      </w:pPr>
    </w:p>
    <w:bookmarkEnd w:id="3"/>
    <w:p w:rsidR="002454F0" w:rsidRDefault="002454F0" w:rsidP="00972AE2">
      <w:pPr>
        <w:spacing w:after="0" w:line="240" w:lineRule="auto"/>
        <w:rPr>
          <w:rFonts w:ascii="Arial" w:hAnsi="Arial" w:cs="Arial"/>
          <w:b/>
          <w:lang w:val="en-GB" w:eastAsia="en-GB"/>
        </w:rPr>
      </w:pPr>
    </w:p>
    <w:p w:rsidR="00FD5134" w:rsidRPr="00DA4925" w:rsidRDefault="00FD5134" w:rsidP="00972AE2">
      <w:pPr>
        <w:spacing w:after="0" w:line="240" w:lineRule="auto"/>
        <w:rPr>
          <w:rFonts w:ascii="Arial" w:hAnsi="Arial" w:cs="Arial"/>
          <w:b/>
          <w:lang w:val="en-GB" w:eastAsia="en-GB"/>
        </w:rPr>
      </w:pPr>
      <w:r w:rsidRPr="00DA4925">
        <w:rPr>
          <w:rFonts w:ascii="Arial" w:hAnsi="Arial" w:cs="Arial"/>
          <w:b/>
          <w:lang w:val="en-GB" w:eastAsia="en-GB"/>
        </w:rPr>
        <w:lastRenderedPageBreak/>
        <w:t>Equalities</w:t>
      </w:r>
    </w:p>
    <w:p w:rsidR="00FD5134" w:rsidRPr="00DA4925" w:rsidRDefault="00FD5134" w:rsidP="00972AE2">
      <w:pPr>
        <w:spacing w:after="0" w:line="240" w:lineRule="auto"/>
        <w:rPr>
          <w:rFonts w:ascii="Arial" w:hAnsi="Arial" w:cs="Arial"/>
          <w:b/>
          <w:lang w:val="en-GB" w:eastAsia="en-GB"/>
        </w:rPr>
      </w:pPr>
    </w:p>
    <w:p w:rsidR="00972AE2" w:rsidRPr="00DA4925" w:rsidRDefault="00972AE2" w:rsidP="00972AE2">
      <w:pPr>
        <w:spacing w:after="0" w:line="240" w:lineRule="auto"/>
        <w:rPr>
          <w:rFonts w:ascii="Arial" w:hAnsi="Arial" w:cs="Arial"/>
        </w:rPr>
      </w:pPr>
      <w:r w:rsidRPr="00DA4925">
        <w:rPr>
          <w:rFonts w:ascii="Arial" w:hAnsi="Arial" w:cs="Arial"/>
        </w:rPr>
        <w:t xml:space="preserve">To help reduce inequalities, the Council has set out </w:t>
      </w:r>
      <w:r w:rsidR="00A80D77" w:rsidRPr="00DA4925">
        <w:rPr>
          <w:rFonts w:ascii="Arial" w:hAnsi="Arial" w:cs="Arial"/>
        </w:rPr>
        <w:t>a range of</w:t>
      </w:r>
      <w:r w:rsidRPr="00DA4925">
        <w:rPr>
          <w:rFonts w:ascii="Arial" w:hAnsi="Arial" w:cs="Arial"/>
        </w:rPr>
        <w:t xml:space="preserve"> equality outcomes for 2017/21</w:t>
      </w:r>
      <w:r w:rsidR="0085086D" w:rsidRPr="00DA4925">
        <w:rPr>
          <w:rFonts w:ascii="Arial" w:hAnsi="Arial" w:cs="Arial"/>
        </w:rPr>
        <w:t xml:space="preserve"> in line with its statutory duty</w:t>
      </w:r>
      <w:r w:rsidR="008517BC" w:rsidRPr="00DA4925">
        <w:rPr>
          <w:rFonts w:ascii="Arial" w:hAnsi="Arial" w:cs="Arial"/>
        </w:rPr>
        <w:t>, each led by a relevant strategic lead area</w:t>
      </w:r>
      <w:r w:rsidRPr="00DA4925">
        <w:rPr>
          <w:rFonts w:ascii="Arial" w:hAnsi="Arial" w:cs="Arial"/>
        </w:rPr>
        <w:t xml:space="preserve">. </w:t>
      </w:r>
      <w:r w:rsidR="002454F0">
        <w:rPr>
          <w:rFonts w:ascii="Arial" w:hAnsi="Arial" w:cs="Arial"/>
        </w:rPr>
        <w:t xml:space="preserve"> </w:t>
      </w:r>
      <w:r w:rsidRPr="00DA4925">
        <w:rPr>
          <w:rFonts w:ascii="Arial" w:hAnsi="Arial" w:cs="Arial"/>
        </w:rPr>
        <w:t>By focusing on outcomes, the Council aims to bring practical improvements to the life chances of those who experience discrimination and disadvantage.</w:t>
      </w:r>
    </w:p>
    <w:p w:rsidR="008517BC" w:rsidRPr="00DA4925" w:rsidRDefault="008517BC" w:rsidP="00972AE2">
      <w:pPr>
        <w:spacing w:after="0" w:line="240" w:lineRule="auto"/>
        <w:rPr>
          <w:rFonts w:ascii="Arial" w:hAnsi="Arial" w:cs="Arial"/>
        </w:rPr>
      </w:pPr>
    </w:p>
    <w:p w:rsidR="008517BC" w:rsidRPr="00DA4925" w:rsidRDefault="008517BC" w:rsidP="008517BC">
      <w:pPr>
        <w:spacing w:after="0" w:line="240" w:lineRule="auto"/>
        <w:rPr>
          <w:rFonts w:ascii="Arial" w:hAnsi="Arial" w:cs="Arial"/>
        </w:rPr>
      </w:pPr>
      <w:r w:rsidRPr="00DA4925">
        <w:rPr>
          <w:rFonts w:ascii="Arial" w:hAnsi="Arial" w:cs="Arial"/>
        </w:rPr>
        <w:t xml:space="preserve">While </w:t>
      </w:r>
      <w:r w:rsidR="00B8391F" w:rsidRPr="00DA4925">
        <w:rPr>
          <w:rFonts w:ascii="Arial" w:hAnsi="Arial" w:cs="Arial"/>
        </w:rPr>
        <w:t>Environment and Neighbourhood</w:t>
      </w:r>
      <w:r w:rsidRPr="00DA4925">
        <w:rPr>
          <w:rFonts w:ascii="Arial" w:hAnsi="Arial" w:cs="Arial"/>
        </w:rPr>
        <w:t xml:space="preserve"> is not leading on any specific equality outcome, we will</w:t>
      </w:r>
      <w:r w:rsidR="00F14A99" w:rsidRPr="00DA4925">
        <w:rPr>
          <w:rFonts w:ascii="Arial" w:hAnsi="Arial" w:cs="Arial"/>
        </w:rPr>
        <w:t xml:space="preserve"> </w:t>
      </w:r>
      <w:r w:rsidR="001C61B0" w:rsidRPr="00DA4925">
        <w:rPr>
          <w:rFonts w:ascii="Arial" w:hAnsi="Arial" w:cs="Arial"/>
        </w:rPr>
        <w:t xml:space="preserve">continue to comply with the </w:t>
      </w:r>
      <w:r w:rsidR="00F14A99" w:rsidRPr="00DA4925">
        <w:rPr>
          <w:rFonts w:ascii="Arial" w:hAnsi="Arial" w:cs="Arial"/>
        </w:rPr>
        <w:t>four council wide equality outcomes for 2017/21, relating to community participation, employment diversity, disability pay gap, and occupational segregation.</w:t>
      </w:r>
      <w:r w:rsidRPr="00DA4925">
        <w:rPr>
          <w:rFonts w:ascii="Arial" w:hAnsi="Arial" w:cs="Arial"/>
        </w:rPr>
        <w:t xml:space="preserve"> </w:t>
      </w:r>
    </w:p>
    <w:p w:rsidR="008517BC" w:rsidRPr="00DA4925" w:rsidRDefault="008517BC" w:rsidP="00972AE2">
      <w:pPr>
        <w:spacing w:after="0" w:line="240" w:lineRule="auto"/>
        <w:rPr>
          <w:rFonts w:ascii="Arial" w:hAnsi="Arial" w:cs="Arial"/>
        </w:rPr>
      </w:pPr>
    </w:p>
    <w:p w:rsidR="00011DE2" w:rsidRPr="00DA4925" w:rsidRDefault="00011DE2" w:rsidP="00011DE2">
      <w:pPr>
        <w:spacing w:after="0" w:line="240" w:lineRule="auto"/>
        <w:rPr>
          <w:rFonts w:ascii="Arial" w:hAnsi="Arial" w:cs="Arial"/>
          <w:b/>
          <w:lang w:val="en-GB"/>
        </w:rPr>
      </w:pPr>
      <w:r w:rsidRPr="00DA4925">
        <w:rPr>
          <w:rFonts w:ascii="Arial" w:hAnsi="Arial" w:cs="Arial"/>
          <w:b/>
          <w:lang w:val="en-GB"/>
        </w:rPr>
        <w:t>PERFORMANCE MANAGEMENT AND REPORTING</w:t>
      </w:r>
    </w:p>
    <w:p w:rsidR="00011DE2" w:rsidRPr="00DA4925" w:rsidRDefault="00011DE2" w:rsidP="00011DE2">
      <w:pPr>
        <w:spacing w:after="0" w:line="240" w:lineRule="auto"/>
        <w:rPr>
          <w:rFonts w:ascii="Arial" w:hAnsi="Arial" w:cs="Arial"/>
          <w:lang w:val="en-GB"/>
        </w:rPr>
      </w:pPr>
    </w:p>
    <w:p w:rsidR="00011DE2" w:rsidRPr="00DA4925" w:rsidRDefault="00011DE2" w:rsidP="00011DE2">
      <w:pPr>
        <w:spacing w:after="0" w:line="240" w:lineRule="auto"/>
        <w:rPr>
          <w:rFonts w:ascii="Arial" w:hAnsi="Arial" w:cs="Arial"/>
          <w:lang w:val="en-GB"/>
        </w:rPr>
      </w:pPr>
      <w:r w:rsidRPr="00DA4925">
        <w:rPr>
          <w:rFonts w:ascii="Arial" w:hAnsi="Arial" w:cs="Arial"/>
          <w:lang w:val="en-GB"/>
        </w:rPr>
        <w:t xml:space="preserve">To address the issues identified by the performance review and strategic assessment above, the </w:t>
      </w:r>
      <w:r w:rsidR="00B8391F" w:rsidRPr="00DA4925">
        <w:rPr>
          <w:rFonts w:ascii="Arial" w:hAnsi="Arial" w:cs="Arial"/>
          <w:lang w:val="en-GB"/>
        </w:rPr>
        <w:t>Environment and Neighbourhood</w:t>
      </w:r>
      <w:r w:rsidRPr="00DA4925">
        <w:rPr>
          <w:rFonts w:ascii="Arial" w:hAnsi="Arial" w:cs="Arial"/>
          <w:lang w:val="en-GB"/>
        </w:rPr>
        <w:t xml:space="preserve"> management team have developed an action plan for 2017/18 (Appendix 2) and a range of performance indicators to enable us to monitor progress (Appendix 3).</w:t>
      </w:r>
    </w:p>
    <w:p w:rsidR="00011DE2" w:rsidRPr="00DA4925" w:rsidRDefault="00011DE2" w:rsidP="00011DE2">
      <w:pPr>
        <w:spacing w:after="0" w:line="240" w:lineRule="auto"/>
        <w:rPr>
          <w:rFonts w:ascii="Arial" w:hAnsi="Arial" w:cs="Arial"/>
          <w:lang w:val="en-GB"/>
        </w:rPr>
      </w:pPr>
    </w:p>
    <w:p w:rsidR="00011DE2" w:rsidRPr="00DA4925" w:rsidRDefault="00011DE2" w:rsidP="00011DE2">
      <w:pPr>
        <w:tabs>
          <w:tab w:val="num" w:pos="0"/>
        </w:tabs>
        <w:spacing w:line="240" w:lineRule="auto"/>
        <w:rPr>
          <w:rFonts w:ascii="Arial" w:hAnsi="Arial" w:cs="Arial"/>
        </w:rPr>
      </w:pPr>
      <w:r w:rsidRPr="00DA4925">
        <w:rPr>
          <w:rFonts w:ascii="Arial" w:hAnsi="Arial" w:cs="Arial"/>
        </w:rPr>
        <w:t>In accordance with the current Performance Management Framework, we will monitor and manage our progress on a regular basis and report progress to committee twice yearly, at mid-year and year end.</w:t>
      </w:r>
    </w:p>
    <w:p w:rsidR="00011DE2" w:rsidRPr="00DA4925" w:rsidRDefault="00011DE2" w:rsidP="00011DE2">
      <w:pPr>
        <w:tabs>
          <w:tab w:val="num" w:pos="0"/>
        </w:tabs>
        <w:spacing w:line="240" w:lineRule="auto"/>
        <w:rPr>
          <w:rFonts w:ascii="Arial" w:hAnsi="Arial" w:cs="Arial"/>
        </w:rPr>
      </w:pPr>
      <w:r w:rsidRPr="00DA4925">
        <w:rPr>
          <w:rFonts w:ascii="Arial" w:hAnsi="Arial" w:cs="Arial"/>
        </w:rPr>
        <w:t>We also produce a range of council wide performance information for the public that’s available from the Council’s website.</w:t>
      </w:r>
    </w:p>
    <w:p w:rsidR="004A2088" w:rsidRPr="00DA4925" w:rsidRDefault="004A2088" w:rsidP="00D1431A">
      <w:pPr>
        <w:spacing w:after="0" w:line="240" w:lineRule="auto"/>
        <w:rPr>
          <w:rFonts w:ascii="Arial" w:hAnsi="Arial" w:cs="Arial"/>
          <w:b/>
          <w:lang w:val="en-GB" w:eastAsia="en-GB"/>
        </w:rPr>
      </w:pPr>
      <w:r w:rsidRPr="00DA4925">
        <w:rPr>
          <w:rFonts w:ascii="Arial" w:hAnsi="Arial" w:cs="Arial"/>
          <w:b/>
          <w:lang w:val="en-GB" w:eastAsia="en-GB"/>
        </w:rPr>
        <w:br w:type="page"/>
      </w:r>
    </w:p>
    <w:p w:rsidR="00F9456A" w:rsidRPr="00DA4925" w:rsidRDefault="00F9456A" w:rsidP="00896A0F">
      <w:pPr>
        <w:pStyle w:val="Heading1"/>
        <w:pBdr>
          <w:top w:val="single" w:sz="4" w:space="1" w:color="auto"/>
          <w:left w:val="single" w:sz="4" w:space="4" w:color="auto"/>
          <w:bottom w:val="single" w:sz="4" w:space="1" w:color="auto"/>
          <w:right w:val="single" w:sz="4" w:space="4" w:color="auto"/>
        </w:pBdr>
        <w:spacing w:before="0" w:after="0" w:line="240" w:lineRule="auto"/>
      </w:pPr>
      <w:r w:rsidRPr="00DA4925">
        <w:rPr>
          <w:sz w:val="28"/>
          <w:szCs w:val="28"/>
        </w:rPr>
        <w:lastRenderedPageBreak/>
        <w:t>3</w:t>
      </w:r>
      <w:r w:rsidRPr="00DA4925">
        <w:rPr>
          <w:sz w:val="22"/>
          <w:szCs w:val="22"/>
        </w:rPr>
        <w:tab/>
      </w:r>
      <w:r w:rsidRPr="00DA4925">
        <w:rPr>
          <w:sz w:val="28"/>
          <w:szCs w:val="28"/>
        </w:rPr>
        <w:t>Resources</w:t>
      </w:r>
    </w:p>
    <w:p w:rsidR="00F9456A" w:rsidRPr="00DA4925" w:rsidRDefault="00F9456A" w:rsidP="00F9456A">
      <w:pPr>
        <w:spacing w:after="0" w:line="240" w:lineRule="auto"/>
        <w:rPr>
          <w:rFonts w:ascii="Arial" w:hAnsi="Arial" w:cs="Arial"/>
        </w:rPr>
      </w:pPr>
    </w:p>
    <w:p w:rsidR="00DB2616" w:rsidRPr="00DA4925" w:rsidRDefault="00DB2616" w:rsidP="00DB2616">
      <w:pPr>
        <w:spacing w:after="0" w:line="240" w:lineRule="auto"/>
        <w:rPr>
          <w:rFonts w:ascii="Arial" w:hAnsi="Arial" w:cs="Arial"/>
          <w:b/>
        </w:rPr>
      </w:pPr>
      <w:r w:rsidRPr="00DA4925">
        <w:rPr>
          <w:rFonts w:ascii="Arial" w:hAnsi="Arial" w:cs="Arial"/>
          <w:b/>
        </w:rPr>
        <w:t>EMPLOYEES</w:t>
      </w:r>
    </w:p>
    <w:p w:rsidR="00DB2616" w:rsidRPr="00DA4925" w:rsidRDefault="00DB2616" w:rsidP="00DB2616">
      <w:pPr>
        <w:spacing w:after="0" w:line="240" w:lineRule="auto"/>
        <w:rPr>
          <w:rFonts w:ascii="Arial" w:hAnsi="Arial" w:cs="Arial"/>
        </w:rPr>
      </w:pPr>
    </w:p>
    <w:p w:rsidR="00DB2616" w:rsidRPr="00DA4925" w:rsidRDefault="00DB2616" w:rsidP="00DB2616">
      <w:pPr>
        <w:spacing w:after="0" w:line="240" w:lineRule="auto"/>
        <w:rPr>
          <w:rFonts w:ascii="Arial" w:hAnsi="Arial" w:cs="Arial"/>
        </w:rPr>
      </w:pPr>
      <w:r w:rsidRPr="00DA4925">
        <w:rPr>
          <w:rFonts w:ascii="Arial" w:hAnsi="Arial" w:cs="Arial"/>
        </w:rPr>
        <w:t xml:space="preserve">The </w:t>
      </w:r>
      <w:r w:rsidR="00A91B4B" w:rsidRPr="00DA4925">
        <w:rPr>
          <w:rFonts w:ascii="Arial" w:hAnsi="Arial" w:cs="Arial"/>
        </w:rPr>
        <w:t>headcount and full time equivalent staff in each service area at 1 April 2017 is as follows:</w:t>
      </w:r>
    </w:p>
    <w:p w:rsidR="00DB2616" w:rsidRPr="00DA4925" w:rsidRDefault="00DB2616" w:rsidP="00DB2616">
      <w:pPr>
        <w:spacing w:after="0" w:line="240" w:lineRule="auto"/>
        <w:rPr>
          <w:rFonts w:ascii="Arial" w:hAnsi="Arial" w:cs="Arial"/>
        </w:rPr>
      </w:pPr>
    </w:p>
    <w:tbl>
      <w:tblPr>
        <w:tblW w:w="8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1630"/>
        <w:gridCol w:w="1630"/>
      </w:tblGrid>
      <w:tr w:rsidR="00DA4925" w:rsidRPr="00DA4925" w:rsidTr="00896A0F">
        <w:tc>
          <w:tcPr>
            <w:tcW w:w="5084" w:type="dxa"/>
            <w:shd w:val="clear" w:color="auto" w:fill="D9D9D9" w:themeFill="background1" w:themeFillShade="D9"/>
          </w:tcPr>
          <w:p w:rsidR="00067C76" w:rsidRPr="00DA4925" w:rsidRDefault="00067C76" w:rsidP="003A2FB5">
            <w:pPr>
              <w:spacing w:after="0" w:line="240" w:lineRule="auto"/>
              <w:rPr>
                <w:rFonts w:ascii="Arial" w:hAnsi="Arial" w:cs="Arial"/>
                <w:b/>
              </w:rPr>
            </w:pPr>
            <w:r w:rsidRPr="00DA4925">
              <w:rPr>
                <w:rFonts w:ascii="Arial" w:hAnsi="Arial" w:cs="Arial"/>
                <w:b/>
              </w:rPr>
              <w:t>Service</w:t>
            </w:r>
          </w:p>
        </w:tc>
        <w:tc>
          <w:tcPr>
            <w:tcW w:w="1630" w:type="dxa"/>
            <w:shd w:val="clear" w:color="auto" w:fill="D9D9D9" w:themeFill="background1" w:themeFillShade="D9"/>
          </w:tcPr>
          <w:p w:rsidR="00067C76" w:rsidRPr="00DA4925" w:rsidRDefault="00067C76" w:rsidP="00A91B4B">
            <w:pPr>
              <w:spacing w:after="0" w:line="240" w:lineRule="auto"/>
              <w:rPr>
                <w:rFonts w:ascii="Arial" w:hAnsi="Arial" w:cs="Arial"/>
                <w:b/>
              </w:rPr>
            </w:pPr>
            <w:r w:rsidRPr="00DA4925">
              <w:rPr>
                <w:rFonts w:ascii="Arial" w:hAnsi="Arial" w:cs="Arial"/>
                <w:b/>
              </w:rPr>
              <w:t xml:space="preserve">FTE Staff </w:t>
            </w:r>
          </w:p>
        </w:tc>
        <w:tc>
          <w:tcPr>
            <w:tcW w:w="1630" w:type="dxa"/>
            <w:shd w:val="clear" w:color="auto" w:fill="D9D9D9" w:themeFill="background1" w:themeFillShade="D9"/>
          </w:tcPr>
          <w:p w:rsidR="00067C76" w:rsidRPr="00DA4925" w:rsidRDefault="00067C76" w:rsidP="00067C76">
            <w:pPr>
              <w:spacing w:after="0" w:line="240" w:lineRule="auto"/>
              <w:rPr>
                <w:rFonts w:ascii="Arial" w:hAnsi="Arial" w:cs="Arial"/>
                <w:b/>
              </w:rPr>
            </w:pPr>
            <w:r w:rsidRPr="00DA4925">
              <w:rPr>
                <w:rFonts w:ascii="Arial" w:hAnsi="Arial" w:cs="Arial"/>
                <w:b/>
              </w:rPr>
              <w:t>Headcount</w:t>
            </w:r>
          </w:p>
        </w:tc>
      </w:tr>
      <w:tr w:rsidR="00DA4925" w:rsidRPr="00DA4925" w:rsidTr="00896A0F">
        <w:tc>
          <w:tcPr>
            <w:tcW w:w="5084" w:type="dxa"/>
            <w:vAlign w:val="center"/>
          </w:tcPr>
          <w:p w:rsidR="00067C76" w:rsidRPr="00DA4925" w:rsidRDefault="00067C76" w:rsidP="003A2FB5">
            <w:pPr>
              <w:spacing w:after="0" w:line="240" w:lineRule="auto"/>
              <w:ind w:left="34"/>
              <w:rPr>
                <w:rFonts w:ascii="Arial" w:eastAsiaTheme="minorHAnsi" w:hAnsi="Arial" w:cs="Arial"/>
              </w:rPr>
            </w:pPr>
            <w:r w:rsidRPr="00DA4925">
              <w:rPr>
                <w:rFonts w:ascii="Arial" w:hAnsi="Arial" w:cs="Arial"/>
              </w:rPr>
              <w:t>Greenspace Services</w:t>
            </w:r>
          </w:p>
        </w:tc>
        <w:tc>
          <w:tcPr>
            <w:tcW w:w="1630" w:type="dxa"/>
          </w:tcPr>
          <w:p w:rsidR="00067C76" w:rsidRPr="00DA4925" w:rsidRDefault="00A91B4B" w:rsidP="003A2FB5">
            <w:pPr>
              <w:spacing w:after="0" w:line="240" w:lineRule="auto"/>
              <w:rPr>
                <w:rFonts w:ascii="Arial" w:hAnsi="Arial" w:cs="Arial"/>
              </w:rPr>
            </w:pPr>
            <w:r w:rsidRPr="00DA4925">
              <w:rPr>
                <w:rFonts w:ascii="Arial" w:hAnsi="Arial" w:cs="Arial"/>
              </w:rPr>
              <w:t>168.51</w:t>
            </w:r>
          </w:p>
        </w:tc>
        <w:tc>
          <w:tcPr>
            <w:tcW w:w="1630" w:type="dxa"/>
          </w:tcPr>
          <w:p w:rsidR="00067C76" w:rsidRPr="00DA4925" w:rsidRDefault="00A91B4B" w:rsidP="00067C76">
            <w:pPr>
              <w:spacing w:after="0" w:line="240" w:lineRule="auto"/>
              <w:rPr>
                <w:rFonts w:ascii="Arial" w:hAnsi="Arial" w:cs="Arial"/>
              </w:rPr>
            </w:pPr>
            <w:r w:rsidRPr="00DA4925">
              <w:rPr>
                <w:rFonts w:ascii="Arial" w:hAnsi="Arial" w:cs="Arial"/>
              </w:rPr>
              <w:t>211</w:t>
            </w:r>
          </w:p>
        </w:tc>
      </w:tr>
      <w:tr w:rsidR="00DA4925" w:rsidRPr="00DA4925" w:rsidTr="00896A0F">
        <w:tc>
          <w:tcPr>
            <w:tcW w:w="5084" w:type="dxa"/>
            <w:vAlign w:val="center"/>
          </w:tcPr>
          <w:p w:rsidR="00067C76" w:rsidRPr="00DA4925" w:rsidRDefault="00067C76" w:rsidP="003A2FB5">
            <w:pPr>
              <w:spacing w:after="0" w:line="240" w:lineRule="auto"/>
              <w:ind w:left="34"/>
              <w:rPr>
                <w:rFonts w:ascii="Arial" w:eastAsiaTheme="minorHAnsi" w:hAnsi="Arial" w:cs="Arial"/>
              </w:rPr>
            </w:pPr>
            <w:r w:rsidRPr="00DA4925">
              <w:rPr>
                <w:rFonts w:ascii="Arial" w:hAnsi="Arial" w:cs="Arial"/>
              </w:rPr>
              <w:t>Roads and Transportation Services</w:t>
            </w:r>
          </w:p>
        </w:tc>
        <w:tc>
          <w:tcPr>
            <w:tcW w:w="1630" w:type="dxa"/>
          </w:tcPr>
          <w:p w:rsidR="00067C76" w:rsidRPr="00DA4925" w:rsidRDefault="00A91B4B" w:rsidP="003A2FB5">
            <w:pPr>
              <w:spacing w:after="0" w:line="240" w:lineRule="auto"/>
              <w:rPr>
                <w:rFonts w:ascii="Arial" w:hAnsi="Arial" w:cs="Arial"/>
              </w:rPr>
            </w:pPr>
            <w:r w:rsidRPr="00DA4925">
              <w:rPr>
                <w:rFonts w:ascii="Arial" w:hAnsi="Arial" w:cs="Arial"/>
              </w:rPr>
              <w:t>60.71</w:t>
            </w:r>
          </w:p>
        </w:tc>
        <w:tc>
          <w:tcPr>
            <w:tcW w:w="1630" w:type="dxa"/>
          </w:tcPr>
          <w:p w:rsidR="00067C76" w:rsidRPr="00DA4925" w:rsidRDefault="00A91B4B" w:rsidP="00067C76">
            <w:pPr>
              <w:spacing w:after="0" w:line="240" w:lineRule="auto"/>
              <w:rPr>
                <w:rFonts w:ascii="Arial" w:hAnsi="Arial" w:cs="Arial"/>
              </w:rPr>
            </w:pPr>
            <w:r w:rsidRPr="00DA4925">
              <w:rPr>
                <w:rFonts w:ascii="Arial" w:hAnsi="Arial" w:cs="Arial"/>
              </w:rPr>
              <w:t>95</w:t>
            </w:r>
          </w:p>
        </w:tc>
      </w:tr>
      <w:tr w:rsidR="00DA4925" w:rsidRPr="00DA4925" w:rsidTr="00896A0F">
        <w:tc>
          <w:tcPr>
            <w:tcW w:w="5084" w:type="dxa"/>
            <w:vAlign w:val="center"/>
          </w:tcPr>
          <w:p w:rsidR="00067C76" w:rsidRPr="00DA4925" w:rsidRDefault="00067C76" w:rsidP="003A2FB5">
            <w:pPr>
              <w:spacing w:after="0" w:line="240" w:lineRule="auto"/>
              <w:ind w:left="34"/>
              <w:rPr>
                <w:rFonts w:ascii="Arial" w:eastAsiaTheme="minorHAnsi" w:hAnsi="Arial" w:cs="Arial"/>
              </w:rPr>
            </w:pPr>
            <w:r w:rsidRPr="00DA4925">
              <w:rPr>
                <w:rFonts w:ascii="Arial" w:hAnsi="Arial" w:cs="Arial"/>
              </w:rPr>
              <w:t>Fleet and Waste Services</w:t>
            </w:r>
          </w:p>
        </w:tc>
        <w:tc>
          <w:tcPr>
            <w:tcW w:w="1630" w:type="dxa"/>
          </w:tcPr>
          <w:p w:rsidR="00067C76" w:rsidRPr="00DA4925" w:rsidRDefault="00A91B4B" w:rsidP="003A2FB5">
            <w:pPr>
              <w:spacing w:after="0" w:line="240" w:lineRule="auto"/>
              <w:rPr>
                <w:rFonts w:ascii="Arial" w:hAnsi="Arial" w:cs="Arial"/>
              </w:rPr>
            </w:pPr>
            <w:r w:rsidRPr="00DA4925">
              <w:rPr>
                <w:rFonts w:ascii="Arial" w:hAnsi="Arial" w:cs="Arial"/>
              </w:rPr>
              <w:t>110.78</w:t>
            </w:r>
          </w:p>
        </w:tc>
        <w:tc>
          <w:tcPr>
            <w:tcW w:w="1630" w:type="dxa"/>
          </w:tcPr>
          <w:p w:rsidR="00067C76" w:rsidRPr="00DA4925" w:rsidRDefault="00A91B4B" w:rsidP="00067C76">
            <w:pPr>
              <w:spacing w:after="0" w:line="240" w:lineRule="auto"/>
              <w:rPr>
                <w:rFonts w:ascii="Arial" w:hAnsi="Arial" w:cs="Arial"/>
              </w:rPr>
            </w:pPr>
            <w:r w:rsidRPr="00DA4925">
              <w:rPr>
                <w:rFonts w:ascii="Arial" w:hAnsi="Arial" w:cs="Arial"/>
              </w:rPr>
              <w:t>113</w:t>
            </w:r>
          </w:p>
        </w:tc>
      </w:tr>
      <w:tr w:rsidR="00DA4925" w:rsidRPr="00DA4925" w:rsidTr="00896A0F">
        <w:tc>
          <w:tcPr>
            <w:tcW w:w="5084" w:type="dxa"/>
            <w:vAlign w:val="center"/>
          </w:tcPr>
          <w:p w:rsidR="00067C76" w:rsidRPr="00DA4925" w:rsidRDefault="00067C76" w:rsidP="003A2FB5">
            <w:pPr>
              <w:spacing w:after="0" w:line="240" w:lineRule="auto"/>
              <w:rPr>
                <w:rFonts w:ascii="Arial" w:eastAsiaTheme="minorHAnsi" w:hAnsi="Arial" w:cs="Arial"/>
              </w:rPr>
            </w:pPr>
            <w:r w:rsidRPr="00DA4925">
              <w:rPr>
                <w:rFonts w:ascii="Arial" w:hAnsi="Arial" w:cs="Arial"/>
              </w:rPr>
              <w:t>Facilities and Leisure Management</w:t>
            </w:r>
          </w:p>
        </w:tc>
        <w:tc>
          <w:tcPr>
            <w:tcW w:w="1630" w:type="dxa"/>
          </w:tcPr>
          <w:p w:rsidR="00067C76" w:rsidRPr="00DA4925" w:rsidRDefault="00A91B4B" w:rsidP="003A2FB5">
            <w:pPr>
              <w:spacing w:after="0" w:line="240" w:lineRule="auto"/>
              <w:rPr>
                <w:rFonts w:ascii="Arial" w:hAnsi="Arial" w:cs="Arial"/>
              </w:rPr>
            </w:pPr>
            <w:r w:rsidRPr="00DA4925">
              <w:rPr>
                <w:rFonts w:ascii="Arial" w:hAnsi="Arial" w:cs="Arial"/>
              </w:rPr>
              <w:t>275.47</w:t>
            </w:r>
          </w:p>
        </w:tc>
        <w:tc>
          <w:tcPr>
            <w:tcW w:w="1630" w:type="dxa"/>
          </w:tcPr>
          <w:p w:rsidR="00067C76" w:rsidRPr="00DA4925" w:rsidRDefault="00A91B4B" w:rsidP="00067C76">
            <w:pPr>
              <w:spacing w:after="0" w:line="240" w:lineRule="auto"/>
              <w:rPr>
                <w:rFonts w:ascii="Arial" w:hAnsi="Arial" w:cs="Arial"/>
              </w:rPr>
            </w:pPr>
            <w:r w:rsidRPr="00DA4925">
              <w:rPr>
                <w:rFonts w:ascii="Arial" w:hAnsi="Arial" w:cs="Arial"/>
              </w:rPr>
              <w:t>524</w:t>
            </w:r>
          </w:p>
        </w:tc>
      </w:tr>
      <w:tr w:rsidR="00DA4925" w:rsidRPr="00DA4925" w:rsidTr="00896A0F">
        <w:tc>
          <w:tcPr>
            <w:tcW w:w="5084" w:type="dxa"/>
            <w:shd w:val="clear" w:color="auto" w:fill="D9D9D9" w:themeFill="background1" w:themeFillShade="D9"/>
            <w:hideMark/>
          </w:tcPr>
          <w:p w:rsidR="00067C76" w:rsidRPr="00DA4925" w:rsidRDefault="00067C76" w:rsidP="003A2FB5">
            <w:pPr>
              <w:spacing w:after="0" w:line="240" w:lineRule="auto"/>
              <w:rPr>
                <w:rFonts w:ascii="Arial" w:hAnsi="Arial" w:cs="Arial"/>
                <w:b/>
              </w:rPr>
            </w:pPr>
            <w:r w:rsidRPr="00DA4925">
              <w:rPr>
                <w:rFonts w:ascii="Arial" w:hAnsi="Arial" w:cs="Arial"/>
                <w:b/>
              </w:rPr>
              <w:t>TOTAL</w:t>
            </w:r>
          </w:p>
        </w:tc>
        <w:tc>
          <w:tcPr>
            <w:tcW w:w="1630" w:type="dxa"/>
            <w:shd w:val="clear" w:color="auto" w:fill="D9D9D9" w:themeFill="background1" w:themeFillShade="D9"/>
          </w:tcPr>
          <w:p w:rsidR="00067C76" w:rsidRPr="00DA4925" w:rsidRDefault="00A91B4B" w:rsidP="003A2FB5">
            <w:pPr>
              <w:spacing w:after="0" w:line="240" w:lineRule="auto"/>
              <w:rPr>
                <w:rFonts w:ascii="Arial" w:hAnsi="Arial" w:cs="Arial"/>
              </w:rPr>
            </w:pPr>
            <w:r w:rsidRPr="00DA4925">
              <w:rPr>
                <w:rFonts w:ascii="Arial" w:hAnsi="Arial" w:cs="Arial"/>
              </w:rPr>
              <w:t>615.</w:t>
            </w:r>
            <w:r w:rsidR="002454F0">
              <w:rPr>
                <w:rFonts w:ascii="Arial" w:hAnsi="Arial" w:cs="Arial"/>
              </w:rPr>
              <w:t>5</w:t>
            </w:r>
          </w:p>
        </w:tc>
        <w:tc>
          <w:tcPr>
            <w:tcW w:w="1630" w:type="dxa"/>
            <w:shd w:val="clear" w:color="auto" w:fill="D9D9D9" w:themeFill="background1" w:themeFillShade="D9"/>
          </w:tcPr>
          <w:p w:rsidR="00067C76" w:rsidRPr="00DA4925" w:rsidRDefault="00A91B4B" w:rsidP="00067C76">
            <w:pPr>
              <w:spacing w:after="0" w:line="240" w:lineRule="auto"/>
              <w:rPr>
                <w:rFonts w:ascii="Arial" w:hAnsi="Arial" w:cs="Arial"/>
              </w:rPr>
            </w:pPr>
            <w:r w:rsidRPr="00DA4925">
              <w:rPr>
                <w:rFonts w:ascii="Arial" w:hAnsi="Arial" w:cs="Arial"/>
              </w:rPr>
              <w:t>943</w:t>
            </w:r>
          </w:p>
        </w:tc>
      </w:tr>
    </w:tbl>
    <w:p w:rsidR="000E568F" w:rsidRPr="00DA4925" w:rsidRDefault="000E568F" w:rsidP="00DB2616">
      <w:pPr>
        <w:spacing w:after="0" w:line="240" w:lineRule="auto"/>
        <w:rPr>
          <w:rFonts w:ascii="Arial" w:hAnsi="Arial" w:cs="Arial"/>
          <w:b/>
        </w:rPr>
      </w:pPr>
    </w:p>
    <w:p w:rsidR="00DB2616" w:rsidRPr="00DA4925" w:rsidRDefault="00DB2616" w:rsidP="00DB2616">
      <w:pPr>
        <w:spacing w:after="0" w:line="240" w:lineRule="auto"/>
        <w:rPr>
          <w:rFonts w:ascii="Arial" w:hAnsi="Arial" w:cs="Arial"/>
          <w:b/>
        </w:rPr>
      </w:pPr>
      <w:r w:rsidRPr="00DA4925">
        <w:rPr>
          <w:rFonts w:ascii="Arial" w:hAnsi="Arial" w:cs="Arial"/>
          <w:b/>
        </w:rPr>
        <w:t xml:space="preserve">‘Be the Best’ </w:t>
      </w:r>
    </w:p>
    <w:p w:rsidR="00DB2616" w:rsidRPr="00DA4925" w:rsidRDefault="00DB2616" w:rsidP="00DB2616">
      <w:pPr>
        <w:spacing w:after="0" w:line="240" w:lineRule="auto"/>
        <w:rPr>
          <w:rFonts w:ascii="Arial" w:hAnsi="Arial" w:cs="Arial"/>
          <w:b/>
        </w:rPr>
      </w:pPr>
    </w:p>
    <w:p w:rsidR="00F9456A" w:rsidRPr="00DA4925" w:rsidRDefault="00F9456A" w:rsidP="00F9456A">
      <w:pPr>
        <w:spacing w:after="0" w:line="240" w:lineRule="auto"/>
        <w:rPr>
          <w:rFonts w:ascii="Arial" w:hAnsi="Arial" w:cs="Arial"/>
        </w:rPr>
      </w:pPr>
      <w:r w:rsidRPr="00DA4925">
        <w:rPr>
          <w:rFonts w:ascii="Arial" w:hAnsi="Arial" w:cs="Arial"/>
        </w:rPr>
        <w:t>As a Council we are committed to supporting every employee to ‘Be the Best’. We do this through providing personal development opportunities and ensuring that our employees feel valued and recognised for their contribution to delivering the Council’s vision and strategic objectives. Employees are supported to develop professionally and personally in both their current role and in planning for any future career.</w:t>
      </w:r>
    </w:p>
    <w:p w:rsidR="00F9456A" w:rsidRPr="00DA4925" w:rsidRDefault="00F9456A" w:rsidP="00F9456A">
      <w:pPr>
        <w:spacing w:after="0" w:line="240" w:lineRule="auto"/>
        <w:rPr>
          <w:rFonts w:ascii="Arial" w:hAnsi="Arial" w:cs="Arial"/>
        </w:rPr>
      </w:pPr>
    </w:p>
    <w:p w:rsidR="000E568F" w:rsidRPr="00DA4925" w:rsidRDefault="000E568F" w:rsidP="000E568F">
      <w:pPr>
        <w:spacing w:after="0" w:line="240" w:lineRule="auto"/>
        <w:rPr>
          <w:rFonts w:ascii="Arial" w:hAnsi="Arial" w:cs="Arial"/>
          <w:bCs/>
          <w:lang w:val="en"/>
        </w:rPr>
      </w:pPr>
      <w:r w:rsidRPr="00DA4925">
        <w:rPr>
          <w:rFonts w:ascii="Arial" w:hAnsi="Arial" w:cs="Arial"/>
          <w:bCs/>
        </w:rPr>
        <w:t xml:space="preserve">From 2017 onwards, employee development will be delivered through ‘Be the Best’ conversions. This </w:t>
      </w:r>
      <w:r w:rsidRPr="00DA4925">
        <w:rPr>
          <w:rFonts w:ascii="Arial" w:hAnsi="Arial" w:cs="Arial"/>
          <w:bCs/>
          <w:lang w:val="en"/>
        </w:rPr>
        <w:t>process will ensure all employees receive a valuable, meaningful discussion around how they can ‘Be the Best’ in their role and receive support and development to allow them to achieve their potential.  </w:t>
      </w:r>
    </w:p>
    <w:p w:rsidR="000E568F" w:rsidRPr="00DA4925" w:rsidRDefault="000E568F" w:rsidP="00F9456A">
      <w:pPr>
        <w:spacing w:after="0" w:line="240" w:lineRule="auto"/>
        <w:rPr>
          <w:rFonts w:ascii="Arial" w:hAnsi="Arial" w:cs="Arial"/>
        </w:rPr>
      </w:pPr>
    </w:p>
    <w:p w:rsidR="00F9456A" w:rsidRPr="00DA4925" w:rsidRDefault="00F9456A" w:rsidP="00F9456A">
      <w:pPr>
        <w:spacing w:after="0" w:line="240" w:lineRule="auto"/>
        <w:rPr>
          <w:rFonts w:ascii="Arial" w:hAnsi="Arial" w:cs="Arial"/>
        </w:rPr>
      </w:pPr>
      <w:r w:rsidRPr="00DA4925">
        <w:rPr>
          <w:rFonts w:ascii="Arial" w:hAnsi="Arial" w:cs="Arial"/>
        </w:rPr>
        <w:t>Our employee development priorities include training; leadership and manager development; customer service; change management; and technical skills and specialist skills that support and maintain professional expertise.  Our commitment to learning and development is recognised through the achievement of Gold Standard from Investors in People (IiP).</w:t>
      </w:r>
    </w:p>
    <w:p w:rsidR="00F9456A" w:rsidRPr="00DA4925" w:rsidRDefault="00F9456A" w:rsidP="00F9456A">
      <w:pPr>
        <w:spacing w:after="0" w:line="240" w:lineRule="auto"/>
        <w:rPr>
          <w:rFonts w:ascii="Arial" w:hAnsi="Arial" w:cs="Arial"/>
          <w:b/>
        </w:rPr>
      </w:pPr>
    </w:p>
    <w:p w:rsidR="00F9456A" w:rsidRPr="00DA4925" w:rsidRDefault="00F9456A" w:rsidP="00F9456A">
      <w:pPr>
        <w:spacing w:after="0" w:line="240" w:lineRule="auto"/>
        <w:rPr>
          <w:rFonts w:ascii="Arial" w:hAnsi="Arial" w:cs="Arial"/>
          <w:b/>
        </w:rPr>
      </w:pPr>
      <w:r w:rsidRPr="00DA4925">
        <w:rPr>
          <w:rFonts w:ascii="Arial" w:hAnsi="Arial" w:cs="Arial"/>
          <w:b/>
        </w:rPr>
        <w:t>Workforce Planning</w:t>
      </w:r>
    </w:p>
    <w:p w:rsidR="00F9456A" w:rsidRPr="00DA4925" w:rsidRDefault="00F9456A" w:rsidP="00F9456A">
      <w:pPr>
        <w:spacing w:after="0" w:line="240" w:lineRule="auto"/>
        <w:rPr>
          <w:rFonts w:ascii="Arial" w:hAnsi="Arial" w:cs="Arial"/>
        </w:rPr>
      </w:pPr>
    </w:p>
    <w:p w:rsidR="00F9456A" w:rsidRPr="00DA4925" w:rsidRDefault="00F9456A" w:rsidP="00F9456A">
      <w:pPr>
        <w:spacing w:after="0" w:line="240" w:lineRule="auto"/>
        <w:rPr>
          <w:rFonts w:ascii="Arial" w:hAnsi="Arial" w:cs="Arial"/>
          <w:lang w:val="en-GB" w:eastAsia="en-GB"/>
        </w:rPr>
      </w:pPr>
      <w:r w:rsidRPr="00DA4925">
        <w:rPr>
          <w:rFonts w:ascii="Arial" w:hAnsi="Arial" w:cs="Arial"/>
        </w:rPr>
        <w:t>Workforce planning is integrated in the strategic planning process, highlighting the key workforce related activities for the year and reflecting the longer term strategic aims of all Council services.  E</w:t>
      </w:r>
      <w:r w:rsidRPr="00DA4925">
        <w:rPr>
          <w:rFonts w:ascii="Arial" w:hAnsi="Arial" w:cs="Arial"/>
          <w:lang w:val="en-GB" w:eastAsia="en-GB"/>
        </w:rPr>
        <w:t xml:space="preserve">ach Strategic Lead is responsible for the annual review of requirements for their respective service areas to ensure that any key actions are identified at an early stage. Appendix 4 sets out the detailed Workforce Plan for </w:t>
      </w:r>
      <w:r w:rsidR="00B8391F" w:rsidRPr="00DA4925">
        <w:rPr>
          <w:rFonts w:ascii="Arial" w:hAnsi="Arial" w:cs="Arial"/>
          <w:lang w:val="en-GB" w:eastAsia="en-GB"/>
        </w:rPr>
        <w:t>Environment and Neighbourhood</w:t>
      </w:r>
      <w:r w:rsidRPr="00DA4925">
        <w:rPr>
          <w:rFonts w:ascii="Arial" w:hAnsi="Arial" w:cs="Arial"/>
          <w:lang w:val="en-GB" w:eastAsia="en-GB"/>
        </w:rPr>
        <w:t xml:space="preserve">. </w:t>
      </w:r>
    </w:p>
    <w:p w:rsidR="00F9456A" w:rsidRPr="00DA4925" w:rsidRDefault="00F9456A" w:rsidP="00F9456A">
      <w:pPr>
        <w:spacing w:after="0" w:line="240" w:lineRule="auto"/>
        <w:rPr>
          <w:rFonts w:ascii="Arial" w:hAnsi="Arial" w:cs="Arial"/>
          <w:lang w:val="en-GB" w:eastAsia="en-GB"/>
        </w:rPr>
      </w:pPr>
    </w:p>
    <w:p w:rsidR="00B97F3B" w:rsidRPr="00DA4925" w:rsidRDefault="00B97F3B" w:rsidP="00B97F3B">
      <w:pPr>
        <w:spacing w:after="0" w:line="240" w:lineRule="auto"/>
        <w:rPr>
          <w:rFonts w:ascii="Arial" w:hAnsi="Arial" w:cs="Arial"/>
          <w:b/>
          <w:bCs/>
        </w:rPr>
      </w:pPr>
      <w:r w:rsidRPr="00DA4925">
        <w:rPr>
          <w:rFonts w:ascii="Arial" w:hAnsi="Arial" w:cs="Arial"/>
          <w:b/>
          <w:bCs/>
        </w:rPr>
        <w:t>Employee Wellbeing Group</w:t>
      </w:r>
    </w:p>
    <w:p w:rsidR="00B97F3B" w:rsidRPr="00DA4925" w:rsidRDefault="00B97F3B" w:rsidP="00B97F3B">
      <w:pPr>
        <w:spacing w:after="0" w:line="240" w:lineRule="auto"/>
        <w:rPr>
          <w:rFonts w:ascii="Arial" w:hAnsi="Arial" w:cs="Arial"/>
          <w:bCs/>
        </w:rPr>
      </w:pPr>
    </w:p>
    <w:p w:rsidR="00B97F3B" w:rsidRPr="00DA4925" w:rsidRDefault="00B97F3B" w:rsidP="00B97F3B">
      <w:pPr>
        <w:spacing w:after="0" w:line="240" w:lineRule="auto"/>
        <w:rPr>
          <w:rFonts w:ascii="Arial" w:hAnsi="Arial" w:cs="Arial"/>
          <w:bCs/>
        </w:rPr>
      </w:pPr>
      <w:r w:rsidRPr="00DA4925">
        <w:rPr>
          <w:rFonts w:ascii="Arial" w:hAnsi="Arial" w:cs="Arial"/>
          <w:bCs/>
        </w:rPr>
        <w:t>The newly established Employee Wellbeing Group will develop and oversee the implementation of a Council strategy (and resulting implementation plans) which will seek to maximise employee wellbeing, recognising the benefits to the organisation and its employees of such an approach. Linked to this, work will be undertaken with managers and trades union partners to embed a ‘safety culture’, fostering increased ownership and accountability across the organisation as a whole.</w:t>
      </w:r>
    </w:p>
    <w:p w:rsidR="00DD6807" w:rsidRPr="00DA4925" w:rsidRDefault="00DD6807">
      <w:pPr>
        <w:spacing w:after="0" w:line="240" w:lineRule="auto"/>
        <w:rPr>
          <w:rFonts w:ascii="Arial" w:hAnsi="Arial" w:cs="Arial"/>
          <w:b/>
          <w:lang w:val="en-GB" w:eastAsia="en-GB"/>
        </w:rPr>
      </w:pPr>
      <w:r w:rsidRPr="00DA4925">
        <w:rPr>
          <w:rFonts w:ascii="Arial" w:hAnsi="Arial" w:cs="Arial"/>
          <w:b/>
          <w:lang w:val="en-GB" w:eastAsia="en-GB"/>
        </w:rPr>
        <w:br w:type="page"/>
      </w:r>
    </w:p>
    <w:p w:rsidR="00F9456A" w:rsidRPr="00DA4925" w:rsidRDefault="00F9456A" w:rsidP="00F9456A">
      <w:pPr>
        <w:spacing w:after="0" w:line="240" w:lineRule="auto"/>
        <w:rPr>
          <w:rFonts w:ascii="Arial" w:hAnsi="Arial" w:cs="Arial"/>
          <w:b/>
          <w:lang w:val="en-GB" w:eastAsia="en-GB"/>
        </w:rPr>
      </w:pPr>
      <w:r w:rsidRPr="00DA4925">
        <w:rPr>
          <w:rFonts w:ascii="Arial" w:hAnsi="Arial" w:cs="Arial"/>
          <w:b/>
          <w:lang w:val="en-GB" w:eastAsia="en-GB"/>
        </w:rPr>
        <w:lastRenderedPageBreak/>
        <w:t>Employee Survey</w:t>
      </w:r>
    </w:p>
    <w:p w:rsidR="00F9456A" w:rsidRPr="00DA4925" w:rsidRDefault="00F9456A" w:rsidP="00F9456A">
      <w:pPr>
        <w:spacing w:after="0" w:line="240" w:lineRule="auto"/>
        <w:rPr>
          <w:rFonts w:ascii="Arial" w:hAnsi="Arial" w:cs="Arial"/>
          <w:lang w:val="en-GB" w:eastAsia="en-GB"/>
        </w:rPr>
      </w:pPr>
    </w:p>
    <w:p w:rsidR="00F9456A" w:rsidRPr="00DA4925" w:rsidRDefault="00F9456A" w:rsidP="006535AB">
      <w:pPr>
        <w:pStyle w:val="Default"/>
        <w:adjustRightInd/>
        <w:spacing w:after="78"/>
        <w:rPr>
          <w:color w:val="auto"/>
          <w:sz w:val="22"/>
          <w:szCs w:val="22"/>
        </w:rPr>
      </w:pPr>
      <w:r w:rsidRPr="00DA4925">
        <w:rPr>
          <w:color w:val="auto"/>
          <w:sz w:val="22"/>
          <w:szCs w:val="22"/>
        </w:rPr>
        <w:t xml:space="preserve">We gather the views of our employees through a regular employee survey carried out every two years. Following the most recent survey at the end of 2015, we have developed and implemented an organisational improvement plan. </w:t>
      </w:r>
      <w:r w:rsidR="006535AB" w:rsidRPr="00DA4925">
        <w:rPr>
          <w:color w:val="auto"/>
          <w:sz w:val="22"/>
          <w:szCs w:val="22"/>
        </w:rPr>
        <w:t xml:space="preserve">This focuses on five key areas: strengthening strategic and visible leadership; widening involvement in change and continuous improvement programmes; embracing new and flexible ways of working; addressing the challenging pressures and workloads; and improving how employees feel valued for the work they do. Improvement actions to address these areas </w:t>
      </w:r>
      <w:r w:rsidRPr="00DA4925">
        <w:rPr>
          <w:color w:val="auto"/>
          <w:sz w:val="22"/>
          <w:szCs w:val="22"/>
        </w:rPr>
        <w:t>will be delivered by all services across the Council.</w:t>
      </w:r>
    </w:p>
    <w:p w:rsidR="003842D4" w:rsidRPr="00DA4925" w:rsidRDefault="003842D4">
      <w:pPr>
        <w:spacing w:after="0" w:line="240" w:lineRule="auto"/>
      </w:pPr>
    </w:p>
    <w:p w:rsidR="003842D4" w:rsidRPr="00DA4925" w:rsidRDefault="003842D4" w:rsidP="003842D4">
      <w:pPr>
        <w:spacing w:after="0" w:line="240" w:lineRule="auto"/>
        <w:rPr>
          <w:rFonts w:ascii="Arial" w:hAnsi="Arial" w:cs="Arial"/>
          <w:b/>
          <w:bCs/>
          <w:lang w:eastAsia="en-GB"/>
        </w:rPr>
      </w:pPr>
      <w:r w:rsidRPr="00DA4925">
        <w:rPr>
          <w:rFonts w:ascii="Arial" w:hAnsi="Arial" w:cs="Arial"/>
          <w:b/>
          <w:bCs/>
          <w:lang w:eastAsia="en-GB"/>
        </w:rPr>
        <w:t>BUDGET</w:t>
      </w:r>
    </w:p>
    <w:p w:rsidR="003842D4" w:rsidRPr="00DA4925" w:rsidRDefault="003842D4" w:rsidP="003842D4">
      <w:pPr>
        <w:spacing w:after="0" w:line="240" w:lineRule="auto"/>
        <w:rPr>
          <w:rFonts w:ascii="Arial" w:hAnsi="Arial" w:cs="Arial"/>
          <w:b/>
          <w:bCs/>
          <w:lang w:eastAsia="en-GB"/>
        </w:rPr>
      </w:pPr>
    </w:p>
    <w:p w:rsidR="003842D4" w:rsidRPr="00DA4925" w:rsidRDefault="003842D4" w:rsidP="003842D4">
      <w:pPr>
        <w:spacing w:after="0" w:line="240" w:lineRule="auto"/>
        <w:rPr>
          <w:rFonts w:ascii="Arial" w:hAnsi="Arial" w:cs="Arial"/>
          <w:lang w:eastAsia="en-GB"/>
        </w:rPr>
      </w:pPr>
      <w:r w:rsidRPr="00DA4925">
        <w:rPr>
          <w:rFonts w:ascii="Arial" w:hAnsi="Arial" w:cs="Arial"/>
        </w:rPr>
        <w:t xml:space="preserve">The 2017/18 revenue budget for Environment and Neighbourhood is £27,180,089. In addition, the service has a capital budget of </w:t>
      </w:r>
      <w:r w:rsidRPr="00DA4925">
        <w:rPr>
          <w:rFonts w:ascii="Arial" w:hAnsi="Arial" w:cs="Arial"/>
          <w:lang w:eastAsia="en-GB"/>
        </w:rPr>
        <w:t>£20,286,000. Details of both the revenue and capital budgets are set out in the table below.</w:t>
      </w:r>
    </w:p>
    <w:p w:rsidR="003842D4" w:rsidRPr="00DA4925" w:rsidRDefault="003842D4" w:rsidP="003842D4">
      <w:pPr>
        <w:spacing w:after="0" w:line="240" w:lineRule="auto"/>
        <w:rPr>
          <w:rFonts w:ascii="Arial" w:hAnsi="Arial" w:cs="Arial"/>
          <w:lang w:eastAsia="en-GB"/>
        </w:rPr>
      </w:pPr>
    </w:p>
    <w:p w:rsidR="003842D4" w:rsidRPr="00DA4925" w:rsidRDefault="003842D4" w:rsidP="003842D4">
      <w:pPr>
        <w:spacing w:after="0" w:line="240" w:lineRule="auto"/>
        <w:rPr>
          <w:rFonts w:ascii="Arial" w:hAnsi="Arial" w:cs="Arial"/>
          <w:lang w:val="en-GB"/>
        </w:rPr>
      </w:pPr>
      <w:r w:rsidRPr="00DA4925">
        <w:rPr>
          <w:rFonts w:ascii="Arial" w:hAnsi="Arial" w:cs="Arial"/>
        </w:rPr>
        <w:t>We will make the best use of the resources available to deliver on key priority areas and secure external funding where we can.</w:t>
      </w:r>
    </w:p>
    <w:p w:rsidR="003842D4" w:rsidRPr="00DA4925" w:rsidRDefault="003842D4" w:rsidP="003842D4">
      <w:pPr>
        <w:spacing w:after="0" w:line="240" w:lineRule="auto"/>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35"/>
        <w:gridCol w:w="1559"/>
        <w:gridCol w:w="1559"/>
        <w:gridCol w:w="1559"/>
        <w:gridCol w:w="1560"/>
      </w:tblGrid>
      <w:tr w:rsidR="00DA4925" w:rsidRPr="00DA4925" w:rsidTr="00896A0F">
        <w:tc>
          <w:tcPr>
            <w:tcW w:w="2835" w:type="dxa"/>
            <w:shd w:val="clear" w:color="auto" w:fill="D9D9D9" w:themeFill="background1" w:themeFillShade="D9"/>
            <w:tcMar>
              <w:top w:w="0" w:type="dxa"/>
              <w:left w:w="108" w:type="dxa"/>
              <w:bottom w:w="0" w:type="dxa"/>
              <w:right w:w="108" w:type="dxa"/>
            </w:tcMar>
            <w:vAlign w:val="center"/>
            <w:hideMark/>
          </w:tcPr>
          <w:p w:rsidR="003842D4" w:rsidRPr="00DA4925" w:rsidRDefault="003842D4">
            <w:pPr>
              <w:autoSpaceDE w:val="0"/>
              <w:autoSpaceDN w:val="0"/>
              <w:spacing w:after="0" w:line="240" w:lineRule="auto"/>
              <w:rPr>
                <w:rFonts w:ascii="Arial" w:eastAsiaTheme="minorHAnsi" w:hAnsi="Arial" w:cs="Arial"/>
                <w:b/>
                <w:bCs/>
                <w:lang w:eastAsia="en-GB"/>
              </w:rPr>
            </w:pPr>
            <w:r w:rsidRPr="00DA4925">
              <w:rPr>
                <w:rFonts w:ascii="Arial" w:hAnsi="Arial" w:cs="Arial"/>
                <w:b/>
                <w:bCs/>
                <w:lang w:eastAsia="en-GB"/>
              </w:rPr>
              <w:t>2017/18</w:t>
            </w:r>
          </w:p>
        </w:tc>
        <w:tc>
          <w:tcPr>
            <w:tcW w:w="1559"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center"/>
              <w:rPr>
                <w:rFonts w:ascii="Arial" w:eastAsiaTheme="minorHAnsi" w:hAnsi="Arial" w:cs="Arial"/>
                <w:b/>
                <w:bCs/>
                <w:lang w:eastAsia="en-GB"/>
              </w:rPr>
            </w:pPr>
            <w:r w:rsidRPr="00DA4925">
              <w:rPr>
                <w:rFonts w:ascii="Arial" w:hAnsi="Arial" w:cs="Arial"/>
                <w:b/>
                <w:bCs/>
                <w:lang w:eastAsia="en-GB"/>
              </w:rPr>
              <w:t>Expenditure</w:t>
            </w:r>
          </w:p>
        </w:tc>
        <w:tc>
          <w:tcPr>
            <w:tcW w:w="1559"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center"/>
              <w:rPr>
                <w:rFonts w:ascii="Arial" w:eastAsiaTheme="minorHAnsi" w:hAnsi="Arial" w:cs="Arial"/>
                <w:b/>
                <w:bCs/>
                <w:lang w:eastAsia="en-GB"/>
              </w:rPr>
            </w:pPr>
            <w:r w:rsidRPr="00DA4925">
              <w:rPr>
                <w:rFonts w:ascii="Arial" w:hAnsi="Arial" w:cs="Arial"/>
                <w:b/>
                <w:bCs/>
                <w:lang w:eastAsia="en-GB"/>
              </w:rPr>
              <w:t>Income</w:t>
            </w:r>
          </w:p>
        </w:tc>
        <w:tc>
          <w:tcPr>
            <w:tcW w:w="1559"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center"/>
              <w:rPr>
                <w:rFonts w:ascii="Arial" w:eastAsiaTheme="minorHAnsi" w:hAnsi="Arial" w:cs="Arial"/>
                <w:b/>
                <w:bCs/>
                <w:lang w:eastAsia="en-GB"/>
              </w:rPr>
            </w:pPr>
            <w:r w:rsidRPr="00DA4925">
              <w:rPr>
                <w:rFonts w:ascii="Arial" w:hAnsi="Arial" w:cs="Arial"/>
                <w:b/>
                <w:bCs/>
                <w:lang w:eastAsia="en-GB"/>
              </w:rPr>
              <w:t>Net</w:t>
            </w:r>
          </w:p>
        </w:tc>
        <w:tc>
          <w:tcPr>
            <w:tcW w:w="1560"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center"/>
              <w:rPr>
                <w:rFonts w:ascii="Arial" w:eastAsiaTheme="minorHAnsi" w:hAnsi="Arial" w:cs="Arial"/>
                <w:b/>
                <w:bCs/>
                <w:lang w:eastAsia="en-GB"/>
              </w:rPr>
            </w:pPr>
            <w:r w:rsidRPr="00DA4925">
              <w:rPr>
                <w:rFonts w:ascii="Arial" w:hAnsi="Arial" w:cs="Arial"/>
                <w:b/>
                <w:bCs/>
                <w:lang w:eastAsia="en-GB"/>
              </w:rPr>
              <w:t>Capital Budget</w:t>
            </w:r>
          </w:p>
        </w:tc>
      </w:tr>
      <w:tr w:rsidR="00DA4925" w:rsidRPr="00DA4925" w:rsidTr="00896A0F">
        <w:tc>
          <w:tcPr>
            <w:tcW w:w="2835" w:type="dxa"/>
            <w:tcMar>
              <w:top w:w="0" w:type="dxa"/>
              <w:left w:w="108" w:type="dxa"/>
              <w:bottom w:w="0" w:type="dxa"/>
              <w:right w:w="108" w:type="dxa"/>
            </w:tcMar>
            <w:vAlign w:val="center"/>
            <w:hideMark/>
          </w:tcPr>
          <w:p w:rsidR="003842D4" w:rsidRPr="00DA4925" w:rsidRDefault="003842D4">
            <w:pPr>
              <w:spacing w:after="0" w:line="240" w:lineRule="auto"/>
              <w:ind w:left="34"/>
              <w:rPr>
                <w:rFonts w:ascii="Arial" w:eastAsiaTheme="minorHAnsi" w:hAnsi="Arial" w:cs="Arial"/>
              </w:rPr>
            </w:pPr>
            <w:r w:rsidRPr="00DA4925">
              <w:rPr>
                <w:rFonts w:ascii="Arial" w:hAnsi="Arial" w:cs="Arial"/>
              </w:rPr>
              <w:t>Roads and Transportation Services</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£8,553,682</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£4,996,850</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rPr>
            </w:pPr>
            <w:r w:rsidRPr="00DA4925">
              <w:rPr>
                <w:rFonts w:ascii="Arial" w:hAnsi="Arial" w:cs="Arial"/>
              </w:rPr>
              <w:t>£3,556,832</w:t>
            </w:r>
          </w:p>
        </w:tc>
        <w:tc>
          <w:tcPr>
            <w:tcW w:w="1560"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rPr>
            </w:pPr>
            <w:r w:rsidRPr="00DA4925">
              <w:rPr>
                <w:rFonts w:ascii="Arial" w:hAnsi="Arial" w:cs="Arial"/>
                <w:lang w:eastAsia="en-GB"/>
              </w:rPr>
              <w:t>£4,257,000</w:t>
            </w:r>
            <w:r w:rsidRPr="00DA4925">
              <w:rPr>
                <w:rFonts w:ascii="Times New Roman" w:hAnsi="Times New Roman"/>
                <w:b/>
                <w:bCs/>
                <w:lang w:eastAsia="en-GB"/>
              </w:rPr>
              <w:t xml:space="preserve"> </w:t>
            </w:r>
          </w:p>
        </w:tc>
      </w:tr>
      <w:tr w:rsidR="00DA4925" w:rsidRPr="00DA4925" w:rsidTr="00896A0F">
        <w:tc>
          <w:tcPr>
            <w:tcW w:w="2835" w:type="dxa"/>
            <w:tcMar>
              <w:top w:w="0" w:type="dxa"/>
              <w:left w:w="108" w:type="dxa"/>
              <w:bottom w:w="0" w:type="dxa"/>
              <w:right w:w="108" w:type="dxa"/>
            </w:tcMar>
            <w:vAlign w:val="center"/>
            <w:hideMark/>
          </w:tcPr>
          <w:p w:rsidR="003842D4" w:rsidRPr="00DA4925" w:rsidRDefault="003842D4">
            <w:pPr>
              <w:spacing w:after="0" w:line="240" w:lineRule="auto"/>
              <w:ind w:left="34"/>
              <w:rPr>
                <w:rFonts w:ascii="Arial" w:eastAsiaTheme="minorHAnsi" w:hAnsi="Arial" w:cs="Arial"/>
              </w:rPr>
            </w:pPr>
            <w:r w:rsidRPr="00DA4925">
              <w:rPr>
                <w:rFonts w:ascii="Arial" w:hAnsi="Arial" w:cs="Arial"/>
              </w:rPr>
              <w:t>Fleet and Waste Services</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£11,797,413</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£5,003,157</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rPr>
            </w:pPr>
            <w:r w:rsidRPr="00DA4925">
              <w:rPr>
                <w:rFonts w:ascii="Arial" w:hAnsi="Arial" w:cs="Arial"/>
              </w:rPr>
              <w:t>£6,794,256</w:t>
            </w:r>
          </w:p>
        </w:tc>
        <w:tc>
          <w:tcPr>
            <w:tcW w:w="1560"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rPr>
            </w:pPr>
            <w:r w:rsidRPr="00DA4925">
              <w:rPr>
                <w:rFonts w:ascii="Arial" w:hAnsi="Arial" w:cs="Arial"/>
                <w:lang w:eastAsia="en-GB"/>
              </w:rPr>
              <w:t>£1,033,000</w:t>
            </w:r>
            <w:r w:rsidRPr="00DA4925">
              <w:rPr>
                <w:rFonts w:ascii="Times New Roman" w:hAnsi="Times New Roman"/>
                <w:b/>
                <w:bCs/>
                <w:lang w:eastAsia="en-GB"/>
              </w:rPr>
              <w:t xml:space="preserve"> </w:t>
            </w:r>
          </w:p>
        </w:tc>
      </w:tr>
      <w:tr w:rsidR="00DA4925" w:rsidRPr="00DA4925" w:rsidTr="00896A0F">
        <w:tc>
          <w:tcPr>
            <w:tcW w:w="2835" w:type="dxa"/>
            <w:tcMar>
              <w:top w:w="0" w:type="dxa"/>
              <w:left w:w="108" w:type="dxa"/>
              <w:bottom w:w="0" w:type="dxa"/>
              <w:right w:w="108" w:type="dxa"/>
            </w:tcMar>
            <w:vAlign w:val="center"/>
          </w:tcPr>
          <w:p w:rsidR="003842D4" w:rsidRPr="00DA4925" w:rsidRDefault="003842D4" w:rsidP="000272E1">
            <w:pPr>
              <w:spacing w:after="0" w:line="240" w:lineRule="auto"/>
              <w:ind w:left="34"/>
              <w:rPr>
                <w:rFonts w:ascii="Arial" w:eastAsiaTheme="minorHAnsi" w:hAnsi="Arial" w:cs="Arial"/>
              </w:rPr>
            </w:pPr>
            <w:r w:rsidRPr="00DA4925">
              <w:rPr>
                <w:rFonts w:ascii="Arial" w:hAnsi="Arial" w:cs="Arial"/>
              </w:rPr>
              <w:t>Greenspace Services</w:t>
            </w:r>
          </w:p>
        </w:tc>
        <w:tc>
          <w:tcPr>
            <w:tcW w:w="1559" w:type="dxa"/>
            <w:tcMar>
              <w:top w:w="0" w:type="dxa"/>
              <w:left w:w="108" w:type="dxa"/>
              <w:bottom w:w="0" w:type="dxa"/>
              <w:right w:w="108" w:type="dxa"/>
            </w:tcMar>
          </w:tcPr>
          <w:p w:rsidR="003842D4" w:rsidRPr="00DA4925" w:rsidRDefault="003842D4" w:rsidP="000272E1">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£8,319,529</w:t>
            </w:r>
          </w:p>
        </w:tc>
        <w:tc>
          <w:tcPr>
            <w:tcW w:w="1559" w:type="dxa"/>
            <w:tcMar>
              <w:top w:w="0" w:type="dxa"/>
              <w:left w:w="108" w:type="dxa"/>
              <w:bottom w:w="0" w:type="dxa"/>
              <w:right w:w="108" w:type="dxa"/>
            </w:tcMar>
          </w:tcPr>
          <w:p w:rsidR="003842D4" w:rsidRPr="00DA4925" w:rsidRDefault="003842D4" w:rsidP="000272E1">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£4,262,081</w:t>
            </w:r>
          </w:p>
        </w:tc>
        <w:tc>
          <w:tcPr>
            <w:tcW w:w="1559" w:type="dxa"/>
            <w:tcMar>
              <w:top w:w="0" w:type="dxa"/>
              <w:left w:w="108" w:type="dxa"/>
              <w:bottom w:w="0" w:type="dxa"/>
              <w:right w:w="108" w:type="dxa"/>
            </w:tcMar>
          </w:tcPr>
          <w:p w:rsidR="003842D4" w:rsidRPr="00DA4925" w:rsidRDefault="003842D4" w:rsidP="000272E1">
            <w:pPr>
              <w:autoSpaceDE w:val="0"/>
              <w:autoSpaceDN w:val="0"/>
              <w:spacing w:after="0" w:line="240" w:lineRule="auto"/>
              <w:jc w:val="right"/>
              <w:rPr>
                <w:rFonts w:ascii="Arial" w:eastAsiaTheme="minorHAnsi" w:hAnsi="Arial" w:cs="Arial"/>
              </w:rPr>
            </w:pPr>
            <w:r w:rsidRPr="00DA4925">
              <w:rPr>
                <w:rFonts w:ascii="Arial" w:hAnsi="Arial" w:cs="Arial"/>
              </w:rPr>
              <w:t>£4,057,448</w:t>
            </w:r>
          </w:p>
        </w:tc>
        <w:tc>
          <w:tcPr>
            <w:tcW w:w="1560" w:type="dxa"/>
            <w:tcMar>
              <w:top w:w="0" w:type="dxa"/>
              <w:left w:w="108" w:type="dxa"/>
              <w:bottom w:w="0" w:type="dxa"/>
              <w:right w:w="108" w:type="dxa"/>
            </w:tcMar>
          </w:tcPr>
          <w:p w:rsidR="003842D4" w:rsidRPr="00DA4925" w:rsidRDefault="003842D4" w:rsidP="000272E1">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£13,247,000</w:t>
            </w:r>
          </w:p>
        </w:tc>
      </w:tr>
      <w:tr w:rsidR="00DA4925" w:rsidRPr="00DA4925" w:rsidTr="00896A0F">
        <w:tc>
          <w:tcPr>
            <w:tcW w:w="2835" w:type="dxa"/>
            <w:tcMar>
              <w:top w:w="0" w:type="dxa"/>
              <w:left w:w="108" w:type="dxa"/>
              <w:bottom w:w="0" w:type="dxa"/>
              <w:right w:w="108" w:type="dxa"/>
            </w:tcMar>
            <w:vAlign w:val="center"/>
            <w:hideMark/>
          </w:tcPr>
          <w:p w:rsidR="003842D4" w:rsidRPr="00DA4925" w:rsidRDefault="003842D4">
            <w:pPr>
              <w:spacing w:after="0" w:line="240" w:lineRule="auto"/>
              <w:rPr>
                <w:rFonts w:ascii="Arial" w:eastAsiaTheme="minorHAnsi" w:hAnsi="Arial" w:cs="Arial"/>
              </w:rPr>
            </w:pPr>
            <w:r w:rsidRPr="00DA4925">
              <w:rPr>
                <w:rFonts w:ascii="Arial" w:hAnsi="Arial" w:cs="Arial"/>
              </w:rPr>
              <w:t>Facilities and Leisure Management</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£14,685,153</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lang w:eastAsia="en-GB"/>
              </w:rPr>
            </w:pPr>
            <w:r w:rsidRPr="00DA4925">
              <w:rPr>
                <w:rFonts w:ascii="Arial" w:hAnsi="Arial" w:cs="Arial"/>
                <w:lang w:eastAsia="en-GB"/>
              </w:rPr>
              <w:t>£1,913,600</w:t>
            </w:r>
          </w:p>
        </w:tc>
        <w:tc>
          <w:tcPr>
            <w:tcW w:w="1559"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rPr>
            </w:pPr>
            <w:r w:rsidRPr="00DA4925">
              <w:rPr>
                <w:rFonts w:ascii="Arial" w:hAnsi="Arial" w:cs="Arial"/>
              </w:rPr>
              <w:t>£12,771,553</w:t>
            </w:r>
          </w:p>
        </w:tc>
        <w:tc>
          <w:tcPr>
            <w:tcW w:w="1560" w:type="dxa"/>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rPr>
            </w:pPr>
            <w:r w:rsidRPr="00DA4925">
              <w:rPr>
                <w:rFonts w:ascii="Arial" w:hAnsi="Arial" w:cs="Arial"/>
                <w:lang w:eastAsia="en-GB"/>
              </w:rPr>
              <w:t xml:space="preserve">£1,749,000 </w:t>
            </w:r>
          </w:p>
        </w:tc>
      </w:tr>
      <w:tr w:rsidR="00DA4925" w:rsidRPr="00DA4925" w:rsidTr="00896A0F">
        <w:tc>
          <w:tcPr>
            <w:tcW w:w="2835" w:type="dxa"/>
            <w:shd w:val="clear" w:color="auto" w:fill="D9D9D9" w:themeFill="background1" w:themeFillShade="D9"/>
            <w:tcMar>
              <w:top w:w="0" w:type="dxa"/>
              <w:left w:w="108" w:type="dxa"/>
              <w:bottom w:w="0" w:type="dxa"/>
              <w:right w:w="108" w:type="dxa"/>
            </w:tcMar>
            <w:vAlign w:val="center"/>
            <w:hideMark/>
          </w:tcPr>
          <w:p w:rsidR="003842D4" w:rsidRPr="00DA4925" w:rsidRDefault="003842D4">
            <w:pPr>
              <w:spacing w:after="0" w:line="240" w:lineRule="auto"/>
              <w:ind w:left="34" w:hanging="34"/>
              <w:rPr>
                <w:rFonts w:ascii="Arial" w:eastAsiaTheme="minorHAnsi" w:hAnsi="Arial" w:cs="Arial"/>
                <w:b/>
                <w:bCs/>
              </w:rPr>
            </w:pPr>
            <w:r w:rsidRPr="00DA4925">
              <w:rPr>
                <w:rFonts w:ascii="Arial" w:hAnsi="Arial" w:cs="Arial"/>
                <w:b/>
                <w:bCs/>
              </w:rPr>
              <w:t>TOTAL</w:t>
            </w:r>
          </w:p>
        </w:tc>
        <w:tc>
          <w:tcPr>
            <w:tcW w:w="1559"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b/>
                <w:bCs/>
                <w:lang w:eastAsia="en-GB"/>
              </w:rPr>
            </w:pPr>
            <w:r w:rsidRPr="00DA4925">
              <w:rPr>
                <w:rFonts w:ascii="Arial" w:hAnsi="Arial" w:cs="Arial"/>
                <w:b/>
                <w:bCs/>
                <w:lang w:eastAsia="en-GB"/>
              </w:rPr>
              <w:t>£43,355,777</w:t>
            </w:r>
          </w:p>
        </w:tc>
        <w:tc>
          <w:tcPr>
            <w:tcW w:w="1559"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b/>
                <w:bCs/>
                <w:lang w:eastAsia="en-GB"/>
              </w:rPr>
            </w:pPr>
            <w:r w:rsidRPr="00DA4925">
              <w:rPr>
                <w:rFonts w:ascii="Arial" w:hAnsi="Arial" w:cs="Arial"/>
                <w:b/>
                <w:bCs/>
                <w:lang w:eastAsia="en-GB"/>
              </w:rPr>
              <w:t>£16,175,688</w:t>
            </w:r>
          </w:p>
        </w:tc>
        <w:tc>
          <w:tcPr>
            <w:tcW w:w="1559"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b/>
                <w:bCs/>
              </w:rPr>
            </w:pPr>
            <w:r w:rsidRPr="00DA4925">
              <w:rPr>
                <w:rFonts w:ascii="Arial" w:hAnsi="Arial" w:cs="Arial"/>
                <w:b/>
                <w:bCs/>
              </w:rPr>
              <w:t>£27,180,089</w:t>
            </w:r>
          </w:p>
        </w:tc>
        <w:tc>
          <w:tcPr>
            <w:tcW w:w="1560" w:type="dxa"/>
            <w:shd w:val="clear" w:color="auto" w:fill="D9D9D9" w:themeFill="background1" w:themeFillShade="D9"/>
            <w:tcMar>
              <w:top w:w="0" w:type="dxa"/>
              <w:left w:w="108" w:type="dxa"/>
              <w:bottom w:w="0" w:type="dxa"/>
              <w:right w:w="108" w:type="dxa"/>
            </w:tcMar>
            <w:hideMark/>
          </w:tcPr>
          <w:p w:rsidR="003842D4" w:rsidRPr="00DA4925" w:rsidRDefault="003842D4">
            <w:pPr>
              <w:autoSpaceDE w:val="0"/>
              <w:autoSpaceDN w:val="0"/>
              <w:spacing w:after="0" w:line="240" w:lineRule="auto"/>
              <w:jc w:val="right"/>
              <w:rPr>
                <w:rFonts w:ascii="Arial" w:eastAsiaTheme="minorHAnsi" w:hAnsi="Arial" w:cs="Arial"/>
                <w:b/>
                <w:bCs/>
              </w:rPr>
            </w:pPr>
            <w:r w:rsidRPr="00DA4925">
              <w:rPr>
                <w:rFonts w:ascii="Arial" w:hAnsi="Arial" w:cs="Arial"/>
                <w:b/>
                <w:bCs/>
                <w:lang w:eastAsia="en-GB"/>
              </w:rPr>
              <w:t>£20,286,000</w:t>
            </w:r>
            <w:r w:rsidRPr="00DA4925">
              <w:rPr>
                <w:rFonts w:ascii="Times New Roman" w:hAnsi="Times New Roman"/>
                <w:b/>
                <w:bCs/>
                <w:lang w:eastAsia="en-GB"/>
              </w:rPr>
              <w:t xml:space="preserve"> </w:t>
            </w:r>
          </w:p>
        </w:tc>
      </w:tr>
    </w:tbl>
    <w:p w:rsidR="003A2FB5" w:rsidRPr="00DA4925" w:rsidRDefault="003A2FB5">
      <w:pPr>
        <w:spacing w:after="0" w:line="240" w:lineRule="auto"/>
        <w:rPr>
          <w:rFonts w:ascii="Arial" w:hAnsi="Arial" w:cs="Arial"/>
          <w:b/>
          <w:noProof/>
          <w:sz w:val="24"/>
          <w:szCs w:val="24"/>
          <w:lang w:val="en-GB"/>
        </w:rPr>
      </w:pPr>
      <w:r w:rsidRPr="00DA4925">
        <w:br w:type="page"/>
      </w:r>
    </w:p>
    <w:p w:rsidR="00BE60F5" w:rsidRPr="00DA4925" w:rsidRDefault="00BE60F5" w:rsidP="00896A0F">
      <w:pPr>
        <w:pStyle w:val="TOC1"/>
        <w:pBdr>
          <w:top w:val="single" w:sz="4" w:space="1" w:color="auto"/>
          <w:left w:val="single" w:sz="4" w:space="4" w:color="auto"/>
          <w:bottom w:val="single" w:sz="4" w:space="1" w:color="auto"/>
          <w:right w:val="single" w:sz="4" w:space="4" w:color="auto"/>
        </w:pBdr>
        <w:rPr>
          <w:color w:val="auto"/>
        </w:rPr>
      </w:pPr>
      <w:r w:rsidRPr="00DA4925">
        <w:rPr>
          <w:color w:val="auto"/>
        </w:rPr>
        <w:lastRenderedPageBreak/>
        <w:t>4</w:t>
      </w:r>
      <w:r w:rsidRPr="00DA4925">
        <w:rPr>
          <w:color w:val="auto"/>
        </w:rPr>
        <w:tab/>
        <w:t>Risks</w:t>
      </w:r>
    </w:p>
    <w:p w:rsidR="002C6921" w:rsidRPr="00DA4925" w:rsidRDefault="002C6921" w:rsidP="00D1431A">
      <w:pPr>
        <w:tabs>
          <w:tab w:val="num" w:pos="0"/>
        </w:tabs>
        <w:spacing w:after="0" w:line="240" w:lineRule="auto"/>
        <w:ind w:left="330"/>
        <w:rPr>
          <w:rFonts w:ascii="Arial" w:hAnsi="Arial" w:cs="Arial"/>
          <w:highlight w:val="yellow"/>
        </w:rPr>
      </w:pPr>
    </w:p>
    <w:p w:rsidR="00F6154D" w:rsidRPr="00DA4925" w:rsidRDefault="00F6154D" w:rsidP="00F6154D">
      <w:pPr>
        <w:spacing w:after="0" w:line="240" w:lineRule="auto"/>
        <w:rPr>
          <w:rFonts w:ascii="Arial" w:hAnsi="Arial" w:cs="Arial"/>
          <w:iCs/>
          <w:lang w:val="en-GB"/>
        </w:rPr>
      </w:pPr>
      <w:r w:rsidRPr="00DA4925">
        <w:rPr>
          <w:rFonts w:ascii="Arial" w:hAnsi="Arial" w:cs="Arial"/>
          <w:iCs/>
          <w:lang w:val="en-GB"/>
        </w:rPr>
        <w:t>The Council has identified risks at both a strategic and service level. Strategic risks represent the potential for the Council to take advantage of opportunities or fail to meet stated strategic objectives and those that require strategic leadership.</w:t>
      </w:r>
      <w:r w:rsidRPr="00DA4925">
        <w:rPr>
          <w:rFonts w:ascii="Arial" w:hAnsi="Arial" w:cs="Arial"/>
          <w:i/>
          <w:iCs/>
          <w:lang w:val="en-GB"/>
        </w:rPr>
        <w:t xml:space="preserve"> </w:t>
      </w:r>
      <w:r w:rsidRPr="00DA4925">
        <w:rPr>
          <w:rFonts w:ascii="Arial" w:hAnsi="Arial" w:cs="Arial"/>
          <w:iCs/>
          <w:lang w:val="en-GB"/>
        </w:rPr>
        <w:t>Service risks relate to service delivery and represent the potential for impact on individual services, or the experience of those who work within the services, i.e. employees, partners, contractors and volunteers, service users or clients in receipt of the services provided.</w:t>
      </w:r>
    </w:p>
    <w:p w:rsidR="00F6154D" w:rsidRPr="00DA4925" w:rsidRDefault="00F6154D" w:rsidP="00F6154D">
      <w:pPr>
        <w:tabs>
          <w:tab w:val="num" w:pos="0"/>
        </w:tabs>
        <w:spacing w:after="0" w:line="240" w:lineRule="auto"/>
        <w:rPr>
          <w:rFonts w:ascii="Arial" w:hAnsi="Arial" w:cs="Arial"/>
          <w:iCs/>
          <w:lang w:val="en-GB"/>
        </w:rPr>
      </w:pPr>
    </w:p>
    <w:p w:rsidR="00F6154D" w:rsidRPr="00DA4925" w:rsidRDefault="00F6154D" w:rsidP="00F6154D">
      <w:pPr>
        <w:spacing w:after="0" w:line="240" w:lineRule="auto"/>
        <w:rPr>
          <w:rFonts w:ascii="Arial" w:hAnsi="Arial" w:cs="Arial"/>
          <w:lang w:val="en-GB"/>
        </w:rPr>
      </w:pPr>
      <w:r w:rsidRPr="00DA4925">
        <w:rPr>
          <w:rFonts w:ascii="Arial" w:hAnsi="Arial" w:cs="Arial"/>
          <w:iCs/>
          <w:lang w:val="en-GB"/>
        </w:rPr>
        <w:t xml:space="preserve">The </w:t>
      </w:r>
      <w:r w:rsidR="00B8391F" w:rsidRPr="00DA4925">
        <w:rPr>
          <w:rFonts w:ascii="Arial" w:hAnsi="Arial" w:cs="Arial"/>
          <w:lang w:val="en-GB"/>
        </w:rPr>
        <w:t>Environment and Neighbourhood</w:t>
      </w:r>
      <w:r w:rsidRPr="00DA4925">
        <w:rPr>
          <w:rFonts w:ascii="Arial" w:hAnsi="Arial" w:cs="Arial"/>
          <w:lang w:val="en-GB"/>
        </w:rPr>
        <w:t xml:space="preserve"> management team has shared responsibility for one of the Council’s seven strategic risks: </w:t>
      </w:r>
      <w:r w:rsidRPr="00DA4925">
        <w:rPr>
          <w:rFonts w:ascii="Arial" w:hAnsi="Arial" w:cs="Arial"/>
        </w:rPr>
        <w:t xml:space="preserve">Council estate and facilities are not fit for purpose. </w:t>
      </w:r>
      <w:r w:rsidRPr="00DA4925">
        <w:rPr>
          <w:rFonts w:ascii="Arial" w:hAnsi="Arial" w:cs="Arial"/>
          <w:lang w:val="en-GB"/>
        </w:rPr>
        <w:t xml:space="preserve">In addition, the management team identified </w:t>
      </w:r>
      <w:r w:rsidR="00291982" w:rsidRPr="00DA4925">
        <w:rPr>
          <w:rFonts w:ascii="Arial" w:hAnsi="Arial" w:cs="Arial"/>
          <w:lang w:val="en-GB"/>
        </w:rPr>
        <w:t xml:space="preserve">a </w:t>
      </w:r>
      <w:r w:rsidRPr="00DA4925">
        <w:rPr>
          <w:rFonts w:ascii="Arial" w:hAnsi="Arial" w:cs="Arial"/>
          <w:lang w:val="en-GB"/>
        </w:rPr>
        <w:t>service specific risk for 2017/18. Both strategic and service specific risks are detailed below.</w:t>
      </w:r>
    </w:p>
    <w:p w:rsidR="00F6154D" w:rsidRPr="00DA4925" w:rsidRDefault="00F6154D" w:rsidP="00F6154D">
      <w:pPr>
        <w:tabs>
          <w:tab w:val="num" w:pos="0"/>
        </w:tabs>
        <w:spacing w:after="0" w:line="240" w:lineRule="auto"/>
        <w:rPr>
          <w:rFonts w:ascii="Arial" w:hAnsi="Arial" w:cs="Arial"/>
          <w:lang w:val="en-GB"/>
        </w:rPr>
      </w:pPr>
    </w:p>
    <w:p w:rsidR="00F6154D" w:rsidRPr="00DA4925" w:rsidRDefault="00F6154D" w:rsidP="00F6154D">
      <w:pPr>
        <w:tabs>
          <w:tab w:val="num" w:pos="0"/>
        </w:tabs>
        <w:spacing w:after="0" w:line="240" w:lineRule="auto"/>
        <w:rPr>
          <w:rFonts w:ascii="Arial" w:hAnsi="Arial" w:cs="Arial"/>
          <w:lang w:val="en-GB"/>
        </w:rPr>
      </w:pPr>
      <w:r w:rsidRPr="00DA4925">
        <w:rPr>
          <w:rFonts w:ascii="Arial" w:hAnsi="Arial" w:cs="Arial"/>
          <w:lang w:val="en-GB"/>
        </w:rPr>
        <w:t xml:space="preserve">Actions to mitigate these risks are set out in Appendix 2 or in </w:t>
      </w:r>
      <w:r w:rsidR="00B8391F" w:rsidRPr="00DA4925">
        <w:rPr>
          <w:rFonts w:ascii="Arial" w:hAnsi="Arial" w:cs="Arial"/>
          <w:lang w:val="en-GB"/>
        </w:rPr>
        <w:t>Environment and Neighbourhood</w:t>
      </w:r>
      <w:r w:rsidRPr="00DA4925">
        <w:rPr>
          <w:rFonts w:ascii="Arial" w:hAnsi="Arial" w:cs="Arial"/>
          <w:lang w:val="en-GB"/>
        </w:rPr>
        <w:t xml:space="preserve"> operational plans, with the aim of </w:t>
      </w:r>
      <w:r w:rsidR="008E1F78" w:rsidRPr="00DA4925">
        <w:rPr>
          <w:rFonts w:ascii="Arial" w:hAnsi="Arial" w:cs="Arial"/>
          <w:lang w:val="en-GB"/>
        </w:rPr>
        <w:t>moving towards the target risk score shown below.</w:t>
      </w:r>
    </w:p>
    <w:p w:rsidR="00F6154D" w:rsidRPr="00DA4925" w:rsidRDefault="00F6154D" w:rsidP="00F6154D">
      <w:pPr>
        <w:tabs>
          <w:tab w:val="num" w:pos="0"/>
        </w:tabs>
        <w:spacing w:after="0" w:line="240" w:lineRule="auto"/>
        <w:ind w:left="-142"/>
        <w:rPr>
          <w:rFonts w:ascii="Arial" w:hAnsi="Arial" w:cs="Arial"/>
          <w:lang w:val="en-GB"/>
        </w:rPr>
      </w:pPr>
    </w:p>
    <w:tbl>
      <w:tblPr>
        <w:tblW w:w="9517" w:type="dxa"/>
        <w:tblInd w:w="108" w:type="dxa"/>
        <w:tblBorders>
          <w:top w:val="single" w:sz="4" w:space="0" w:color="auto"/>
          <w:left w:val="single" w:sz="4" w:space="0" w:color="auto"/>
          <w:bottom w:val="single" w:sz="4" w:space="0" w:color="auto"/>
          <w:right w:val="single" w:sz="4" w:space="0" w:color="auto"/>
          <w:insideH w:val="single" w:sz="8" w:space="0" w:color="0F243E" w:themeColor="text2" w:themeShade="80"/>
          <w:insideV w:val="single" w:sz="8" w:space="0" w:color="0F243E" w:themeColor="text2" w:themeShade="80"/>
        </w:tblBorders>
        <w:tblLayout w:type="fixed"/>
        <w:tblLook w:val="04A0" w:firstRow="1" w:lastRow="0" w:firstColumn="1" w:lastColumn="0" w:noHBand="0" w:noVBand="1"/>
      </w:tblPr>
      <w:tblGrid>
        <w:gridCol w:w="1843"/>
        <w:gridCol w:w="4394"/>
        <w:gridCol w:w="1630"/>
        <w:gridCol w:w="10"/>
        <w:gridCol w:w="1621"/>
        <w:gridCol w:w="19"/>
      </w:tblGrid>
      <w:tr w:rsidR="00DA4925" w:rsidRPr="00DA4925" w:rsidTr="00896A0F">
        <w:trPr>
          <w:gridAfter w:val="1"/>
          <w:wAfter w:w="19" w:type="dxa"/>
          <w:trHeight w:val="509"/>
        </w:trPr>
        <w:tc>
          <w:tcPr>
            <w:tcW w:w="1843" w:type="dxa"/>
            <w:shd w:val="clear" w:color="auto" w:fill="D9D9D9" w:themeFill="background1" w:themeFillShade="D9"/>
            <w:vAlign w:val="center"/>
          </w:tcPr>
          <w:p w:rsidR="00F6154D" w:rsidRPr="00DA4925" w:rsidRDefault="00F6154D" w:rsidP="00DF7028">
            <w:pPr>
              <w:spacing w:after="0" w:line="240" w:lineRule="auto"/>
              <w:ind w:left="34"/>
              <w:jc w:val="center"/>
              <w:rPr>
                <w:rFonts w:ascii="Arial" w:hAnsi="Arial" w:cs="Arial"/>
                <w:b/>
                <w:lang w:val="en-GB"/>
              </w:rPr>
            </w:pPr>
            <w:r w:rsidRPr="00DA4925">
              <w:rPr>
                <w:rFonts w:ascii="Arial" w:hAnsi="Arial" w:cs="Arial"/>
                <w:b/>
                <w:lang w:val="en-GB"/>
              </w:rPr>
              <w:t>Risk</w:t>
            </w:r>
          </w:p>
        </w:tc>
        <w:tc>
          <w:tcPr>
            <w:tcW w:w="4394" w:type="dxa"/>
            <w:shd w:val="clear" w:color="auto" w:fill="D9D9D9" w:themeFill="background1" w:themeFillShade="D9"/>
            <w:vAlign w:val="center"/>
          </w:tcPr>
          <w:p w:rsidR="00F6154D" w:rsidRPr="00DA4925" w:rsidRDefault="00F6154D" w:rsidP="00DF7028">
            <w:pPr>
              <w:spacing w:after="0" w:line="240" w:lineRule="auto"/>
              <w:jc w:val="center"/>
              <w:rPr>
                <w:rFonts w:ascii="Arial" w:hAnsi="Arial" w:cs="Arial"/>
                <w:b/>
                <w:lang w:val="en-GB"/>
              </w:rPr>
            </w:pPr>
            <w:r w:rsidRPr="00DA4925">
              <w:rPr>
                <w:rFonts w:ascii="Arial" w:hAnsi="Arial" w:cs="Arial"/>
                <w:b/>
                <w:lang w:val="en-GB"/>
              </w:rPr>
              <w:t>Description</w:t>
            </w:r>
          </w:p>
        </w:tc>
        <w:tc>
          <w:tcPr>
            <w:tcW w:w="1630" w:type="dxa"/>
            <w:shd w:val="clear" w:color="auto" w:fill="D9D9D9" w:themeFill="background1" w:themeFillShade="D9"/>
            <w:vAlign w:val="center"/>
          </w:tcPr>
          <w:p w:rsidR="00F6154D" w:rsidRPr="00DA4925" w:rsidRDefault="00F6154D" w:rsidP="00DF7028">
            <w:pPr>
              <w:spacing w:after="0" w:line="240" w:lineRule="auto"/>
              <w:ind w:left="-142"/>
              <w:jc w:val="center"/>
              <w:rPr>
                <w:rFonts w:ascii="Arial" w:eastAsia="Verdana" w:hAnsi="Arial" w:cs="Arial"/>
                <w:b/>
                <w:noProof/>
                <w:lang w:val="en-GB" w:eastAsia="en-GB"/>
              </w:rPr>
            </w:pPr>
            <w:r w:rsidRPr="00DA4925">
              <w:rPr>
                <w:rFonts w:ascii="Arial" w:eastAsia="Verdana" w:hAnsi="Arial" w:cs="Arial"/>
                <w:b/>
                <w:noProof/>
                <w:lang w:val="en-GB" w:eastAsia="en-GB"/>
              </w:rPr>
              <w:t xml:space="preserve">Current Risk Score </w:t>
            </w:r>
          </w:p>
        </w:tc>
        <w:tc>
          <w:tcPr>
            <w:tcW w:w="1631" w:type="dxa"/>
            <w:gridSpan w:val="2"/>
            <w:shd w:val="clear" w:color="auto" w:fill="D9D9D9" w:themeFill="background1" w:themeFillShade="D9"/>
            <w:vAlign w:val="center"/>
          </w:tcPr>
          <w:p w:rsidR="00F6154D" w:rsidRPr="00DA4925" w:rsidRDefault="00F6154D" w:rsidP="00DF7028">
            <w:pPr>
              <w:spacing w:after="0" w:line="240" w:lineRule="auto"/>
              <w:ind w:left="-142"/>
              <w:jc w:val="center"/>
              <w:rPr>
                <w:rFonts w:ascii="Arial" w:hAnsi="Arial" w:cs="Arial"/>
                <w:b/>
                <w:lang w:val="en-GB"/>
              </w:rPr>
            </w:pPr>
            <w:r w:rsidRPr="00DA4925">
              <w:rPr>
                <w:rFonts w:ascii="Arial" w:hAnsi="Arial" w:cs="Arial"/>
                <w:b/>
                <w:lang w:val="en-GB"/>
              </w:rPr>
              <w:t xml:space="preserve">Target Risk Score </w:t>
            </w:r>
          </w:p>
        </w:tc>
      </w:tr>
      <w:tr w:rsidR="00DA4925" w:rsidRPr="00DA4925" w:rsidTr="00896A0F">
        <w:tc>
          <w:tcPr>
            <w:tcW w:w="1843" w:type="dxa"/>
            <w:shd w:val="clear" w:color="auto" w:fill="FFFFFF"/>
            <w:tcMar>
              <w:top w:w="40" w:type="dxa"/>
              <w:left w:w="40" w:type="dxa"/>
              <w:bottom w:w="40" w:type="dxa"/>
              <w:right w:w="40" w:type="dxa"/>
            </w:tcMar>
          </w:tcPr>
          <w:p w:rsidR="002C6921" w:rsidRPr="00DA4925" w:rsidRDefault="002C6921" w:rsidP="00291982">
            <w:pPr>
              <w:spacing w:after="0" w:line="240" w:lineRule="auto"/>
              <w:rPr>
                <w:rFonts w:ascii="Arial" w:eastAsia="Verdana" w:hAnsi="Arial" w:cs="Arial"/>
                <w:lang w:val="en-GB"/>
              </w:rPr>
            </w:pPr>
            <w:r w:rsidRPr="00DA4925">
              <w:rPr>
                <w:rFonts w:ascii="Arial" w:eastAsia="Verdana" w:hAnsi="Arial" w:cs="Arial"/>
                <w:lang w:val="en-GB"/>
              </w:rPr>
              <w:t>Council estate and facilities are not fit for purpose (Strategic Risk)</w:t>
            </w:r>
          </w:p>
        </w:tc>
        <w:tc>
          <w:tcPr>
            <w:tcW w:w="4394" w:type="dxa"/>
            <w:shd w:val="clear" w:color="auto" w:fill="FFFFFF"/>
            <w:tcMar>
              <w:top w:w="40" w:type="dxa"/>
              <w:left w:w="40" w:type="dxa"/>
              <w:bottom w:w="40" w:type="dxa"/>
              <w:right w:w="40" w:type="dxa"/>
            </w:tcMar>
          </w:tcPr>
          <w:p w:rsidR="002C6921" w:rsidRPr="00DA4925" w:rsidRDefault="002C6921" w:rsidP="00291982">
            <w:pPr>
              <w:pStyle w:val="NormalWeb"/>
              <w:spacing w:before="0" w:beforeAutospacing="0" w:after="0" w:afterAutospacing="0"/>
              <w:rPr>
                <w:rFonts w:ascii="Arial" w:hAnsi="Arial" w:cs="Arial"/>
                <w:sz w:val="22"/>
                <w:szCs w:val="22"/>
              </w:rPr>
            </w:pPr>
            <w:r w:rsidRPr="00DA4925">
              <w:rPr>
                <w:rFonts w:ascii="Arial" w:hAnsi="Arial" w:cs="Arial"/>
                <w:sz w:val="22"/>
                <w:szCs w:val="22"/>
              </w:rPr>
              <w:t xml:space="preserve">The Council's assets and facilities, though improving, are not fully fit for purpose with a consequent adverse impact on our ability to deliver efficient and effective services. Included in this assessment is </w:t>
            </w:r>
            <w:r w:rsidR="009231A4" w:rsidRPr="00DA4925">
              <w:rPr>
                <w:rFonts w:ascii="Arial" w:hAnsi="Arial" w:cs="Arial"/>
                <w:sz w:val="22"/>
                <w:szCs w:val="22"/>
              </w:rPr>
              <w:t xml:space="preserve">the </w:t>
            </w:r>
            <w:r w:rsidRPr="00DA4925">
              <w:rPr>
                <w:rFonts w:ascii="Arial" w:hAnsi="Arial" w:cs="Arial"/>
                <w:sz w:val="22"/>
                <w:szCs w:val="22"/>
              </w:rPr>
              <w:t xml:space="preserve">Council’s property portfolio, housing stock, roads and lighting, fleet and open space </w:t>
            </w:r>
          </w:p>
          <w:p w:rsidR="002C6921" w:rsidRPr="00DA4925" w:rsidRDefault="002C6921" w:rsidP="00291982">
            <w:pPr>
              <w:spacing w:after="0" w:line="240" w:lineRule="auto"/>
              <w:rPr>
                <w:rFonts w:ascii="Arial" w:eastAsia="Verdana" w:hAnsi="Arial" w:cs="Arial"/>
                <w:lang w:val="en-GB"/>
              </w:rPr>
            </w:pPr>
          </w:p>
        </w:tc>
        <w:tc>
          <w:tcPr>
            <w:tcW w:w="1640" w:type="dxa"/>
            <w:gridSpan w:val="2"/>
            <w:shd w:val="clear" w:color="auto" w:fill="FFFFFF"/>
            <w:tcMar>
              <w:top w:w="40" w:type="dxa"/>
              <w:left w:w="40" w:type="dxa"/>
              <w:bottom w:w="40" w:type="dxa"/>
              <w:right w:w="40" w:type="dxa"/>
            </w:tcMar>
          </w:tcPr>
          <w:p w:rsidR="002C6921" w:rsidRPr="00DA4925" w:rsidRDefault="002E07FF" w:rsidP="00291982">
            <w:pPr>
              <w:spacing w:after="0" w:line="240" w:lineRule="auto"/>
              <w:rPr>
                <w:rFonts w:ascii="Arial" w:eastAsia="Verdana" w:hAnsi="Arial" w:cs="Arial"/>
                <w:lang w:val="en-GB"/>
              </w:rPr>
            </w:pPr>
            <w:r w:rsidRPr="00DA4925">
              <w:rPr>
                <w:rFonts w:ascii="Arial" w:eastAsia="Verdana" w:hAnsi="Arial" w:cs="Arial"/>
                <w:noProof/>
                <w:lang w:val="en-GB" w:eastAsia="en-GB"/>
              </w:rPr>
              <w:drawing>
                <wp:inline distT="0" distB="0" distL="0" distR="0" wp14:anchorId="58194E0D" wp14:editId="5DD430DF">
                  <wp:extent cx="797442" cy="809902"/>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358" cy="809817"/>
                          </a:xfrm>
                          <a:prstGeom prst="rect">
                            <a:avLst/>
                          </a:prstGeom>
                          <a:noFill/>
                          <a:ln>
                            <a:noFill/>
                          </a:ln>
                        </pic:spPr>
                      </pic:pic>
                    </a:graphicData>
                  </a:graphic>
                </wp:inline>
              </w:drawing>
            </w:r>
          </w:p>
          <w:p w:rsidR="008E1F78" w:rsidRPr="00DA4925" w:rsidRDefault="008E1F78" w:rsidP="00291982">
            <w:pPr>
              <w:spacing w:after="0" w:line="240" w:lineRule="auto"/>
              <w:rPr>
                <w:rFonts w:ascii="Arial" w:eastAsia="Verdana" w:hAnsi="Arial" w:cs="Arial"/>
                <w:lang w:val="en-GB"/>
              </w:rPr>
            </w:pPr>
          </w:p>
        </w:tc>
        <w:tc>
          <w:tcPr>
            <w:tcW w:w="1640" w:type="dxa"/>
            <w:gridSpan w:val="2"/>
            <w:shd w:val="clear" w:color="auto" w:fill="FFFFFF"/>
            <w:tcMar>
              <w:top w:w="40" w:type="dxa"/>
              <w:left w:w="40" w:type="dxa"/>
              <w:bottom w:w="40" w:type="dxa"/>
              <w:right w:w="40" w:type="dxa"/>
            </w:tcMar>
          </w:tcPr>
          <w:p w:rsidR="002C6921" w:rsidRPr="00DA4925" w:rsidRDefault="00C428D7" w:rsidP="00291982">
            <w:pPr>
              <w:spacing w:after="0" w:line="240" w:lineRule="auto"/>
              <w:rPr>
                <w:rFonts w:ascii="Arial" w:eastAsia="Verdana" w:hAnsi="Arial" w:cs="Arial"/>
                <w:lang w:val="en-GB"/>
              </w:rPr>
            </w:pPr>
            <w:r w:rsidRPr="00DA4925">
              <w:rPr>
                <w:rFonts w:ascii="Arial" w:eastAsia="Verdana" w:hAnsi="Arial" w:cs="Arial"/>
                <w:noProof/>
                <w:lang w:val="en-GB" w:eastAsia="en-GB"/>
              </w:rPr>
              <w:drawing>
                <wp:inline distT="0" distB="0" distL="0" distR="0" wp14:anchorId="3063C749" wp14:editId="7EE1010D">
                  <wp:extent cx="797442" cy="80990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358" cy="809817"/>
                          </a:xfrm>
                          <a:prstGeom prst="rect">
                            <a:avLst/>
                          </a:prstGeom>
                          <a:noFill/>
                          <a:ln>
                            <a:noFill/>
                          </a:ln>
                        </pic:spPr>
                      </pic:pic>
                    </a:graphicData>
                  </a:graphic>
                </wp:inline>
              </w:drawing>
            </w:r>
          </w:p>
        </w:tc>
      </w:tr>
      <w:tr w:rsidR="00DA4925" w:rsidRPr="00DA4925" w:rsidTr="00896A0F">
        <w:tc>
          <w:tcPr>
            <w:tcW w:w="1843" w:type="dxa"/>
            <w:shd w:val="clear" w:color="auto" w:fill="FFFFFF"/>
            <w:tcMar>
              <w:top w:w="40" w:type="dxa"/>
              <w:left w:w="40" w:type="dxa"/>
              <w:bottom w:w="40" w:type="dxa"/>
              <w:right w:w="40" w:type="dxa"/>
            </w:tcMar>
          </w:tcPr>
          <w:p w:rsidR="00A94255" w:rsidRPr="00DA4925" w:rsidRDefault="00A94255" w:rsidP="00B52518">
            <w:pPr>
              <w:spacing w:after="0" w:line="240" w:lineRule="auto"/>
              <w:rPr>
                <w:rFonts w:ascii="Arial" w:eastAsia="Verdana" w:hAnsi="Arial" w:cs="Arial"/>
                <w:lang w:val="en-GB"/>
              </w:rPr>
            </w:pPr>
            <w:r w:rsidRPr="00DA4925">
              <w:rPr>
                <w:rFonts w:ascii="Arial" w:eastAsia="Verdana" w:hAnsi="Arial" w:cs="Arial"/>
                <w:lang w:val="en-GB"/>
              </w:rPr>
              <w:t>People Management</w:t>
            </w:r>
            <w:r w:rsidR="00291982" w:rsidRPr="00DA4925">
              <w:rPr>
                <w:rFonts w:ascii="Arial" w:eastAsia="Verdana" w:hAnsi="Arial" w:cs="Arial"/>
                <w:lang w:val="en-GB"/>
              </w:rPr>
              <w:t xml:space="preserve"> (Service </w:t>
            </w:r>
            <w:r w:rsidR="00B52518" w:rsidRPr="00DA4925">
              <w:rPr>
                <w:rFonts w:ascii="Arial" w:eastAsia="Verdana" w:hAnsi="Arial" w:cs="Arial"/>
                <w:lang w:val="en-GB"/>
              </w:rPr>
              <w:t>S</w:t>
            </w:r>
            <w:r w:rsidR="00291982" w:rsidRPr="00DA4925">
              <w:rPr>
                <w:rFonts w:ascii="Arial" w:eastAsia="Verdana" w:hAnsi="Arial" w:cs="Arial"/>
                <w:lang w:val="en-GB"/>
              </w:rPr>
              <w:t>pecific</w:t>
            </w:r>
            <w:r w:rsidR="00B52518" w:rsidRPr="00DA4925">
              <w:rPr>
                <w:rFonts w:ascii="Arial" w:eastAsia="Verdana" w:hAnsi="Arial" w:cs="Arial"/>
                <w:lang w:val="en-GB"/>
              </w:rPr>
              <w:t xml:space="preserve"> Risk</w:t>
            </w:r>
            <w:r w:rsidR="00291982" w:rsidRPr="00DA4925">
              <w:rPr>
                <w:rFonts w:ascii="Arial" w:eastAsia="Verdana" w:hAnsi="Arial" w:cs="Arial"/>
                <w:lang w:val="en-GB"/>
              </w:rPr>
              <w:t>)</w:t>
            </w:r>
          </w:p>
        </w:tc>
        <w:tc>
          <w:tcPr>
            <w:tcW w:w="4394" w:type="dxa"/>
            <w:shd w:val="clear" w:color="auto" w:fill="FFFFFF"/>
            <w:tcMar>
              <w:top w:w="40" w:type="dxa"/>
              <w:left w:w="40" w:type="dxa"/>
              <w:bottom w:w="40" w:type="dxa"/>
              <w:right w:w="40" w:type="dxa"/>
            </w:tcMar>
          </w:tcPr>
          <w:p w:rsidR="00A94255" w:rsidRPr="00DA4925" w:rsidRDefault="00A94255" w:rsidP="00291982">
            <w:pPr>
              <w:pStyle w:val="NormalWeb"/>
              <w:spacing w:before="0" w:beforeAutospacing="0" w:after="0" w:afterAutospacing="0"/>
              <w:rPr>
                <w:rFonts w:ascii="Arial" w:hAnsi="Arial" w:cs="Arial"/>
                <w:sz w:val="22"/>
                <w:szCs w:val="22"/>
              </w:rPr>
            </w:pPr>
            <w:r w:rsidRPr="00DA4925">
              <w:rPr>
                <w:rFonts w:ascii="Arial" w:hAnsi="Arial" w:cs="Arial"/>
                <w:sz w:val="22"/>
                <w:szCs w:val="22"/>
              </w:rPr>
              <w:t>Failure to appropriately monitor and target absence levels which can lead to reduced service delivery</w:t>
            </w:r>
            <w:r w:rsidR="00DE26B4" w:rsidRPr="00DA4925">
              <w:rPr>
                <w:rFonts w:ascii="Arial" w:hAnsi="Arial" w:cs="Arial"/>
                <w:sz w:val="22"/>
                <w:szCs w:val="22"/>
              </w:rPr>
              <w:t>.</w:t>
            </w:r>
          </w:p>
          <w:p w:rsidR="00A94255" w:rsidRPr="00DA4925" w:rsidRDefault="00A94255" w:rsidP="00291982">
            <w:pPr>
              <w:spacing w:after="0" w:line="240" w:lineRule="auto"/>
              <w:rPr>
                <w:rFonts w:ascii="Arial" w:eastAsia="Verdana" w:hAnsi="Arial" w:cs="Arial"/>
                <w:lang w:val="en-GB"/>
              </w:rPr>
            </w:pPr>
          </w:p>
        </w:tc>
        <w:tc>
          <w:tcPr>
            <w:tcW w:w="1640" w:type="dxa"/>
            <w:gridSpan w:val="2"/>
            <w:shd w:val="clear" w:color="auto" w:fill="FFFFFF"/>
            <w:tcMar>
              <w:top w:w="40" w:type="dxa"/>
              <w:left w:w="40" w:type="dxa"/>
              <w:bottom w:w="40" w:type="dxa"/>
              <w:right w:w="40" w:type="dxa"/>
            </w:tcMar>
          </w:tcPr>
          <w:p w:rsidR="00A94255" w:rsidRPr="00DA4925" w:rsidRDefault="00291982" w:rsidP="00291982">
            <w:pPr>
              <w:spacing w:after="0" w:line="240" w:lineRule="auto"/>
              <w:rPr>
                <w:rFonts w:ascii="Arial" w:eastAsia="Verdana" w:hAnsi="Arial" w:cs="Arial"/>
                <w:lang w:val="en-GB"/>
              </w:rPr>
            </w:pPr>
            <w:r w:rsidRPr="00DA4925">
              <w:rPr>
                <w:rFonts w:ascii="Verdana" w:eastAsia="Verdana" w:hAnsi="Verdana" w:cs="Verdana"/>
                <w:noProof/>
                <w:sz w:val="16"/>
                <w:lang w:val="en-GB" w:eastAsia="en-GB"/>
              </w:rPr>
              <w:drawing>
                <wp:inline distT="0" distB="0" distL="0" distR="0" wp14:anchorId="65585039" wp14:editId="080A9AC3">
                  <wp:extent cx="800100" cy="809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p w:rsidR="008E1F78" w:rsidRPr="00DA4925" w:rsidRDefault="008E1F78" w:rsidP="00291982">
            <w:pPr>
              <w:spacing w:after="0" w:line="240" w:lineRule="auto"/>
              <w:rPr>
                <w:rFonts w:ascii="Arial" w:eastAsia="Verdana" w:hAnsi="Arial" w:cs="Arial"/>
                <w:lang w:val="en-GB"/>
              </w:rPr>
            </w:pPr>
          </w:p>
        </w:tc>
        <w:tc>
          <w:tcPr>
            <w:tcW w:w="1640" w:type="dxa"/>
            <w:gridSpan w:val="2"/>
            <w:shd w:val="clear" w:color="auto" w:fill="FFFFFF"/>
            <w:tcMar>
              <w:top w:w="40" w:type="dxa"/>
              <w:left w:w="40" w:type="dxa"/>
              <w:bottom w:w="40" w:type="dxa"/>
              <w:right w:w="40" w:type="dxa"/>
            </w:tcMar>
          </w:tcPr>
          <w:p w:rsidR="00A94255" w:rsidRPr="00DA4925" w:rsidRDefault="002E07FF" w:rsidP="00291982">
            <w:pPr>
              <w:spacing w:after="0" w:line="240" w:lineRule="auto"/>
              <w:rPr>
                <w:rFonts w:ascii="Arial" w:eastAsia="Verdana" w:hAnsi="Arial" w:cs="Arial"/>
                <w:lang w:val="en-GB"/>
              </w:rPr>
            </w:pPr>
            <w:r w:rsidRPr="00DA4925">
              <w:rPr>
                <w:rFonts w:ascii="Verdana" w:eastAsia="Verdana" w:hAnsi="Verdana" w:cs="Verdana"/>
                <w:noProof/>
                <w:sz w:val="16"/>
                <w:lang w:val="en-GB" w:eastAsia="en-GB"/>
              </w:rPr>
              <w:drawing>
                <wp:inline distT="0" distB="0" distL="0" distR="0" wp14:anchorId="19DFEE94" wp14:editId="3ED05F09">
                  <wp:extent cx="80010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tc>
      </w:tr>
    </w:tbl>
    <w:p w:rsidR="00255E08" w:rsidRPr="00DA4925" w:rsidRDefault="00255E08" w:rsidP="00D1431A">
      <w:pPr>
        <w:spacing w:after="0" w:line="240" w:lineRule="auto"/>
        <w:rPr>
          <w:rFonts w:ascii="Arial" w:hAnsi="Arial" w:cs="Arial"/>
          <w:highlight w:val="yellow"/>
        </w:rPr>
        <w:sectPr w:rsidR="00255E08" w:rsidRPr="00DA4925" w:rsidSect="00893C49">
          <w:footerReference w:type="even" r:id="rId12"/>
          <w:footerReference w:type="default" r:id="rId13"/>
          <w:pgSz w:w="12240" w:h="15840"/>
          <w:pgMar w:top="1440" w:right="1440" w:bottom="1440" w:left="1440" w:header="709" w:footer="709" w:gutter="120"/>
          <w:cols w:space="708"/>
          <w:titlePg/>
          <w:docGrid w:linePitch="360"/>
        </w:sectPr>
      </w:pPr>
    </w:p>
    <w:p w:rsidR="00255E08" w:rsidRPr="00DA4925" w:rsidRDefault="00255E08" w:rsidP="00D1431A">
      <w:pPr>
        <w:pStyle w:val="Heading1"/>
        <w:spacing w:before="0" w:after="0" w:line="240" w:lineRule="auto"/>
        <w:rPr>
          <w:sz w:val="28"/>
          <w:szCs w:val="28"/>
        </w:rPr>
      </w:pPr>
      <w:bookmarkStart w:id="4" w:name="_Toc450646323"/>
      <w:r w:rsidRPr="00DA4925">
        <w:rPr>
          <w:sz w:val="28"/>
          <w:szCs w:val="28"/>
        </w:rPr>
        <w:lastRenderedPageBreak/>
        <w:t>Appendix 1</w:t>
      </w:r>
      <w:r w:rsidR="0091223D" w:rsidRPr="00DA4925">
        <w:rPr>
          <w:sz w:val="28"/>
          <w:szCs w:val="28"/>
        </w:rPr>
        <w:t xml:space="preserve">: </w:t>
      </w:r>
      <w:r w:rsidRPr="00DA4925">
        <w:rPr>
          <w:sz w:val="28"/>
          <w:szCs w:val="28"/>
        </w:rPr>
        <w:t>Structure</w:t>
      </w:r>
      <w:bookmarkEnd w:id="4"/>
      <w:r w:rsidR="00705896" w:rsidRPr="00DA4925">
        <w:rPr>
          <w:sz w:val="28"/>
          <w:szCs w:val="28"/>
        </w:rPr>
        <w:t xml:space="preserve"> Chart</w:t>
      </w:r>
    </w:p>
    <w:p w:rsidR="00634B7A" w:rsidRPr="00DA4925" w:rsidRDefault="00634B7A" w:rsidP="00D1431A">
      <w:pPr>
        <w:spacing w:after="0" w:line="240" w:lineRule="auto"/>
        <w:rPr>
          <w:rFonts w:ascii="Arial" w:hAnsi="Arial" w:cs="Arial"/>
        </w:rPr>
      </w:pPr>
    </w:p>
    <w:p w:rsidR="00993D8B" w:rsidRPr="00DA4925" w:rsidRDefault="00D2444C" w:rsidP="0091223D">
      <w:pPr>
        <w:spacing w:after="0" w:line="240" w:lineRule="auto"/>
        <w:ind w:left="720"/>
        <w:rPr>
          <w:rFonts w:ascii="Arial" w:hAnsi="Arial" w:cs="Arial"/>
          <w:highlight w:val="yellow"/>
        </w:rPr>
        <w:sectPr w:rsidR="00993D8B" w:rsidRPr="00DA4925" w:rsidSect="00A85772">
          <w:pgSz w:w="12240" w:h="15840"/>
          <w:pgMar w:top="1418" w:right="907" w:bottom="1418" w:left="760" w:header="709" w:footer="709" w:gutter="119"/>
          <w:cols w:space="708"/>
          <w:titlePg/>
          <w:docGrid w:linePitch="360"/>
        </w:sectPr>
      </w:pPr>
      <w:r w:rsidRPr="00DA4925">
        <w:rPr>
          <w:noProof/>
          <w:lang w:val="en-GB" w:eastAsia="en-GB"/>
        </w:rPr>
        <w:drawing>
          <wp:inline distT="0" distB="0" distL="0" distR="0" wp14:anchorId="46B747E2" wp14:editId="004D760F">
            <wp:extent cx="5867400" cy="590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67400" cy="5905500"/>
                    </a:xfrm>
                    <a:prstGeom prst="rect">
                      <a:avLst/>
                    </a:prstGeom>
                  </pic:spPr>
                </pic:pic>
              </a:graphicData>
            </a:graphic>
          </wp:inline>
        </w:drawing>
      </w:r>
    </w:p>
    <w:p w:rsidR="00EF4C53" w:rsidRPr="00DA4925" w:rsidRDefault="00A8219A" w:rsidP="00C575B9">
      <w:pPr>
        <w:pStyle w:val="Heading1"/>
        <w:spacing w:before="0" w:after="0" w:line="240" w:lineRule="auto"/>
        <w:rPr>
          <w:sz w:val="28"/>
          <w:szCs w:val="28"/>
        </w:rPr>
      </w:pPr>
      <w:bookmarkStart w:id="5" w:name="_Toc450646324"/>
      <w:r w:rsidRPr="00DA4925">
        <w:rPr>
          <w:sz w:val="28"/>
          <w:szCs w:val="28"/>
        </w:rPr>
        <w:lastRenderedPageBreak/>
        <w:t>Appendix 2</w:t>
      </w:r>
      <w:r w:rsidR="0091223D" w:rsidRPr="00DA4925">
        <w:rPr>
          <w:sz w:val="28"/>
          <w:szCs w:val="28"/>
        </w:rPr>
        <w:t xml:space="preserve">: </w:t>
      </w:r>
      <w:r w:rsidRPr="00DA4925">
        <w:rPr>
          <w:sz w:val="28"/>
          <w:szCs w:val="28"/>
        </w:rPr>
        <w:t>Action Plan 201</w:t>
      </w:r>
      <w:r w:rsidR="007A15ED" w:rsidRPr="00DA4925">
        <w:rPr>
          <w:sz w:val="28"/>
          <w:szCs w:val="28"/>
        </w:rPr>
        <w:t>7/</w:t>
      </w:r>
      <w:r w:rsidR="00FF0D33" w:rsidRPr="00DA4925">
        <w:rPr>
          <w:sz w:val="28"/>
          <w:szCs w:val="28"/>
        </w:rPr>
        <w:t>1</w:t>
      </w:r>
      <w:r w:rsidR="007A15ED" w:rsidRPr="00DA4925">
        <w:rPr>
          <w:sz w:val="28"/>
          <w:szCs w:val="28"/>
        </w:rPr>
        <w:t>8</w:t>
      </w:r>
      <w:bookmarkEnd w:id="5"/>
    </w:p>
    <w:p w:rsidR="00C575B9" w:rsidRPr="00DA4925" w:rsidRDefault="00C575B9" w:rsidP="00A65377">
      <w:pPr>
        <w:spacing w:after="0" w:line="240" w:lineRule="auto"/>
        <w:rPr>
          <w:sz w:val="16"/>
          <w:szCs w:val="16"/>
        </w:rPr>
      </w:pPr>
    </w:p>
    <w:p w:rsidR="00C76122" w:rsidRPr="00DA4925" w:rsidRDefault="00C76122" w:rsidP="007B2549">
      <w:pPr>
        <w:spacing w:after="0" w:line="240" w:lineRule="auto"/>
        <w:rPr>
          <w:rFonts w:ascii="Arial" w:hAnsi="Arial" w:cs="Arial"/>
          <w:b/>
          <w:sz w:val="16"/>
          <w:szCs w:val="16"/>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Layout w:type="fixed"/>
        <w:tblLook w:val="04A0" w:firstRow="1" w:lastRow="0" w:firstColumn="1" w:lastColumn="0" w:noHBand="0" w:noVBand="1"/>
      </w:tblPr>
      <w:tblGrid>
        <w:gridCol w:w="1600"/>
        <w:gridCol w:w="2247"/>
        <w:gridCol w:w="7108"/>
        <w:gridCol w:w="1559"/>
        <w:gridCol w:w="1626"/>
      </w:tblGrid>
      <w:tr w:rsidR="002454F0" w:rsidRPr="00DA4925" w:rsidTr="00896A0F">
        <w:trPr>
          <w:tblHead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4F0" w:rsidRPr="00DA4925" w:rsidRDefault="002454F0" w:rsidP="007B2549">
            <w:pPr>
              <w:spacing w:after="0" w:line="240" w:lineRule="auto"/>
              <w:rPr>
                <w:rFonts w:ascii="Arial" w:eastAsia="Verdana" w:hAnsi="Arial" w:cs="Arial"/>
                <w:lang w:val="en-GB"/>
              </w:rPr>
            </w:pPr>
            <w:r>
              <w:rPr>
                <w:rFonts w:ascii="Arial" w:eastAsia="Verdana" w:hAnsi="Arial" w:cs="Arial"/>
                <w:lang w:val="en-GB"/>
              </w:rPr>
              <w:t>Priority</w:t>
            </w:r>
          </w:p>
        </w:tc>
        <w:tc>
          <w:tcPr>
            <w:tcW w:w="2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hAnsi="Arial" w:cs="Arial"/>
                <w:lang w:val="en-GB"/>
              </w:rPr>
            </w:pPr>
            <w:r w:rsidRPr="00DA4925">
              <w:rPr>
                <w:rFonts w:ascii="Arial" w:eastAsia="Verdana" w:hAnsi="Arial" w:cs="Arial"/>
                <w:lang w:val="en-GB"/>
              </w:rPr>
              <w:t>Outcome</w:t>
            </w:r>
          </w:p>
        </w:tc>
        <w:tc>
          <w:tcPr>
            <w:tcW w:w="7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Action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Due Date</w:t>
            </w:r>
          </w:p>
        </w:tc>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Assigned To</w:t>
            </w:r>
          </w:p>
        </w:tc>
      </w:tr>
      <w:tr w:rsidR="002454F0" w:rsidRPr="00DA4925" w:rsidTr="00896A0F">
        <w:tc>
          <w:tcPr>
            <w:tcW w:w="1600" w:type="dxa"/>
            <w:vMerge w:val="restart"/>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7B2549">
            <w:pPr>
              <w:spacing w:after="0" w:line="240" w:lineRule="auto"/>
              <w:rPr>
                <w:rFonts w:ascii="Arial" w:eastAsia="Verdana" w:hAnsi="Arial" w:cs="Arial"/>
                <w:lang w:val="en-GB"/>
              </w:rPr>
            </w:pPr>
            <w:r>
              <w:rPr>
                <w:rFonts w:ascii="Arial" w:eastAsia="Verdana" w:hAnsi="Arial" w:cs="Arial"/>
                <w:lang w:val="en-GB"/>
              </w:rPr>
              <w:t>Social Mission</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Improved local housing and environmentally sustainable infrastructure</w:t>
            </w: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Review Asset Management for Open Spaces, Road and Fleet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0272E1">
            <w:pPr>
              <w:spacing w:after="0" w:line="240" w:lineRule="auto"/>
              <w:rPr>
                <w:rFonts w:ascii="Arial" w:eastAsia="Verdana" w:hAnsi="Arial" w:cs="Arial"/>
                <w:lang w:val="en-GB"/>
              </w:rPr>
            </w:pPr>
            <w:r w:rsidRPr="00DA4925">
              <w:rPr>
                <w:rFonts w:ascii="Arial" w:eastAsia="Verdana" w:hAnsi="Arial" w:cs="Arial"/>
                <w:lang w:val="en-GB"/>
              </w:rPr>
              <w:t>December 2017</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Ian Bain; Rodney Thornton; Raymond Walsh</w:t>
            </w:r>
          </w:p>
        </w:tc>
      </w:tr>
      <w:tr w:rsidR="002454F0" w:rsidRPr="00DA4925" w:rsidTr="00896A0F">
        <w:trPr>
          <w:trHeight w:val="374"/>
        </w:trPr>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DB4957">
            <w:pPr>
              <w:spacing w:after="0" w:line="240" w:lineRule="auto"/>
              <w:rPr>
                <w:rFonts w:ascii="Arial" w:eastAsia="Verdana" w:hAnsi="Arial" w:cs="Arial"/>
                <w:lang w:val="en-GB"/>
              </w:rPr>
            </w:pPr>
          </w:p>
        </w:tc>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DB4957">
            <w:pPr>
              <w:spacing w:after="0" w:line="240" w:lineRule="auto"/>
              <w:rPr>
                <w:rFonts w:ascii="Arial" w:eastAsia="Verdana" w:hAnsi="Arial" w:cs="Arial"/>
                <w:lang w:val="en-GB"/>
              </w:rPr>
            </w:pP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1EA4">
            <w:pPr>
              <w:spacing w:after="0" w:line="240" w:lineRule="auto"/>
              <w:rPr>
                <w:rFonts w:ascii="Arial" w:eastAsia="Verdana" w:hAnsi="Arial" w:cs="Arial"/>
                <w:lang w:val="en-GB"/>
              </w:rPr>
            </w:pPr>
            <w:r w:rsidRPr="00DA4925">
              <w:rPr>
                <w:rFonts w:ascii="Arial" w:hAnsi="Arial" w:cs="Arial"/>
              </w:rPr>
              <w:t>Implement actions to support residents in recycling more of their waste in order to reduce the cost of landfill disposals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Rodney Thornton</w:t>
            </w:r>
          </w:p>
        </w:tc>
      </w:tr>
      <w:tr w:rsidR="002454F0"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7B2549">
            <w:pPr>
              <w:spacing w:after="0" w:line="240" w:lineRule="auto"/>
              <w:rPr>
                <w:rFonts w:ascii="Arial" w:eastAsia="Verdana" w:hAnsi="Arial" w:cs="Arial"/>
                <w:lang w:val="en-GB"/>
              </w:rPr>
            </w:pPr>
          </w:p>
        </w:tc>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1EA4">
            <w:pPr>
              <w:spacing w:after="0" w:line="240" w:lineRule="auto"/>
              <w:rPr>
                <w:rFonts w:ascii="Arial" w:hAnsi="Arial" w:cs="Arial"/>
              </w:rPr>
            </w:pPr>
            <w:r w:rsidRPr="00DA4925">
              <w:rPr>
                <w:rFonts w:ascii="Arial" w:hAnsi="Arial" w:cs="Arial"/>
                <w:lang w:val="en"/>
              </w:rPr>
              <w:t xml:space="preserve">Develop service delivery options that are compliant with of the </w:t>
            </w:r>
            <w:r w:rsidRPr="00DA4925">
              <w:rPr>
                <w:rFonts w:ascii="Arial" w:hAnsi="Arial" w:cs="Arial"/>
                <w:lang w:val="en-GB" w:eastAsia="en-GB"/>
              </w:rPr>
              <w:t xml:space="preserve">Charter for Household Recycling in Scotland’s </w:t>
            </w:r>
            <w:r w:rsidRPr="00DA4925">
              <w:rPr>
                <w:rFonts w:ascii="Arial" w:hAnsi="Arial" w:cs="Arial"/>
                <w:lang w:val="en"/>
              </w:rPr>
              <w:t>Code of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Rodney Thornton</w:t>
            </w:r>
          </w:p>
        </w:tc>
      </w:tr>
      <w:tr w:rsidR="002454F0"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7B2549">
            <w:pPr>
              <w:spacing w:after="0" w:line="240" w:lineRule="auto"/>
              <w:rPr>
                <w:rFonts w:ascii="Arial" w:eastAsia="Verdana" w:hAnsi="Arial" w:cs="Arial"/>
                <w:lang w:val="en-GB"/>
              </w:rPr>
            </w:pPr>
          </w:p>
        </w:tc>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1EA4">
            <w:pPr>
              <w:spacing w:after="0" w:line="240" w:lineRule="auto"/>
              <w:rPr>
                <w:rFonts w:ascii="Arial" w:hAnsi="Arial" w:cs="Arial"/>
                <w:lang w:val="en"/>
              </w:rPr>
            </w:pPr>
            <w:r w:rsidRPr="00DA4925">
              <w:rPr>
                <w:rFonts w:ascii="Arial" w:hAnsi="Arial" w:cs="Arial"/>
                <w:lang w:val="en"/>
              </w:rPr>
              <w:t xml:space="preserve">Implement actions to address the changes introduced by the </w:t>
            </w:r>
            <w:r w:rsidRPr="00DA4925">
              <w:rPr>
                <w:rFonts w:ascii="Arial" w:hAnsi="Arial" w:cs="Arial"/>
              </w:rPr>
              <w:t>Community Empowerment (Scotland) Act 2015 in relation to allotments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Ian Bain</w:t>
            </w:r>
          </w:p>
        </w:tc>
      </w:tr>
      <w:tr w:rsidR="002454F0"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7B2549">
            <w:pPr>
              <w:spacing w:after="0" w:line="240" w:lineRule="auto"/>
              <w:rPr>
                <w:rFonts w:ascii="Arial" w:eastAsia="Verdana" w:hAnsi="Arial" w:cs="Arial"/>
                <w:lang w:val="en-GB"/>
              </w:rPr>
            </w:pPr>
          </w:p>
        </w:tc>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1EA4">
            <w:pPr>
              <w:spacing w:after="0" w:line="240" w:lineRule="auto"/>
              <w:rPr>
                <w:rFonts w:ascii="Arial" w:hAnsi="Arial" w:cs="Arial"/>
                <w:lang w:val="en"/>
              </w:rPr>
            </w:pPr>
            <w:r w:rsidRPr="00DA4925">
              <w:rPr>
                <w:rFonts w:ascii="Arial" w:hAnsi="Arial" w:cs="Arial"/>
                <w:lang w:val="en"/>
              </w:rPr>
              <w:t>Implement actions to address the impact of climate change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Raymond Walsh</w:t>
            </w:r>
          </w:p>
        </w:tc>
      </w:tr>
      <w:tr w:rsidR="002454F0"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7B2549">
            <w:pPr>
              <w:spacing w:after="0" w:line="240" w:lineRule="auto"/>
              <w:rPr>
                <w:rFonts w:ascii="Arial" w:eastAsia="Verdana" w:hAnsi="Arial" w:cs="Arial"/>
                <w:lang w:val="en-GB"/>
              </w:rPr>
            </w:pPr>
          </w:p>
        </w:tc>
        <w:tc>
          <w:tcPr>
            <w:tcW w:w="2247" w:type="dxa"/>
            <w:vMerge w:val="restar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Improved the well-being of communities and protected the welfare of vulnerable people</w:t>
            </w: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DB4957">
            <w:pPr>
              <w:spacing w:after="0" w:line="240" w:lineRule="auto"/>
              <w:rPr>
                <w:rFonts w:ascii="Arial" w:hAnsi="Arial" w:cs="Arial"/>
                <w:lang w:val="en"/>
              </w:rPr>
            </w:pPr>
            <w:r w:rsidRPr="00DA4925">
              <w:rPr>
                <w:rFonts w:ascii="Arial" w:hAnsi="Arial" w:cs="Arial"/>
                <w:bCs/>
                <w:lang w:val="en-GB"/>
              </w:rPr>
              <w:t>Implement actions to improve participation rates in sports facilities and impact positively on cost per attendance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Lynda Dinnie</w:t>
            </w:r>
          </w:p>
        </w:tc>
      </w:tr>
      <w:tr w:rsidR="002454F0"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2454F0" w:rsidRPr="00DA4925" w:rsidRDefault="002454F0" w:rsidP="007B2549">
            <w:pPr>
              <w:spacing w:after="0" w:line="240" w:lineRule="auto"/>
              <w:rPr>
                <w:rFonts w:ascii="Arial" w:eastAsia="Verdana" w:hAnsi="Arial" w:cs="Arial"/>
                <w:lang w:val="en-GB"/>
              </w:rPr>
            </w:pPr>
          </w:p>
        </w:tc>
        <w:tc>
          <w:tcPr>
            <w:tcW w:w="2247"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p>
        </w:tc>
        <w:tc>
          <w:tcPr>
            <w:tcW w:w="710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360DA9">
            <w:pPr>
              <w:spacing w:after="0" w:line="240" w:lineRule="auto"/>
              <w:rPr>
                <w:rFonts w:ascii="Arial" w:hAnsi="Arial" w:cs="Arial"/>
                <w:bCs/>
                <w:lang w:val="en-GB"/>
              </w:rPr>
            </w:pPr>
            <w:r w:rsidRPr="00DA4925">
              <w:rPr>
                <w:rFonts w:ascii="Arial" w:hAnsi="Arial" w:cs="Arial"/>
              </w:rPr>
              <w:t>Assist in the development of the Early Years Strategy in relation to facility management input to existing and new premises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626"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2454F0" w:rsidRPr="00DA4925" w:rsidRDefault="002454F0" w:rsidP="00744195">
            <w:pPr>
              <w:spacing w:after="0" w:line="240" w:lineRule="auto"/>
              <w:rPr>
                <w:rFonts w:ascii="Arial" w:eastAsia="Verdana" w:hAnsi="Arial" w:cs="Arial"/>
                <w:lang w:val="en-GB"/>
              </w:rPr>
            </w:pPr>
            <w:r w:rsidRPr="00DA4925">
              <w:rPr>
                <w:rFonts w:ascii="Arial" w:eastAsia="Verdana" w:hAnsi="Arial" w:cs="Arial"/>
                <w:lang w:val="en-GB"/>
              </w:rPr>
              <w:t>Lynda Dinnie</w:t>
            </w:r>
          </w:p>
        </w:tc>
      </w:tr>
    </w:tbl>
    <w:p w:rsidR="00C76122" w:rsidRDefault="00C76122"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Default="009A2E8A" w:rsidP="007B2549">
      <w:pPr>
        <w:spacing w:after="0" w:line="240" w:lineRule="auto"/>
        <w:rPr>
          <w:rFonts w:ascii="Arial" w:hAnsi="Arial" w:cs="Arial"/>
          <w:b/>
          <w:sz w:val="16"/>
          <w:szCs w:val="16"/>
        </w:rPr>
      </w:pPr>
    </w:p>
    <w:p w:rsidR="009A2E8A" w:rsidRPr="00DA4925" w:rsidRDefault="009A2E8A" w:rsidP="007B2549">
      <w:pPr>
        <w:spacing w:after="0" w:line="240" w:lineRule="auto"/>
        <w:rPr>
          <w:rFonts w:ascii="Arial" w:hAnsi="Arial" w:cs="Arial"/>
          <w:b/>
          <w:sz w:val="16"/>
          <w:szCs w:val="16"/>
        </w:rPr>
      </w:pPr>
    </w:p>
    <w:tbl>
      <w:tblPr>
        <w:tblW w:w="502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2270"/>
        <w:gridCol w:w="7085"/>
        <w:gridCol w:w="1559"/>
        <w:gridCol w:w="1702"/>
      </w:tblGrid>
      <w:tr w:rsidR="002454F0" w:rsidRPr="00DA4925" w:rsidTr="00896A0F">
        <w:trPr>
          <w:tblHead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4F0" w:rsidRPr="00DA4925" w:rsidRDefault="002454F0" w:rsidP="007B2549">
            <w:pPr>
              <w:spacing w:after="0" w:line="240" w:lineRule="auto"/>
              <w:rPr>
                <w:rFonts w:ascii="Arial" w:eastAsia="Verdana" w:hAnsi="Arial" w:cs="Arial"/>
                <w:lang w:val="en-GB"/>
              </w:rPr>
            </w:pPr>
            <w:r>
              <w:rPr>
                <w:rFonts w:ascii="Arial" w:eastAsia="Verdana" w:hAnsi="Arial" w:cs="Arial"/>
                <w:lang w:val="en-GB"/>
              </w:rPr>
              <w:lastRenderedPageBreak/>
              <w:t>Priority</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2454F0" w:rsidRDefault="002454F0" w:rsidP="002454F0">
            <w:pPr>
              <w:spacing w:after="0" w:line="240" w:lineRule="auto"/>
              <w:rPr>
                <w:rFonts w:ascii="Arial" w:eastAsia="Verdana" w:hAnsi="Arial" w:cs="Arial"/>
                <w:lang w:val="en-GB"/>
              </w:rPr>
            </w:pPr>
            <w:r>
              <w:rPr>
                <w:rFonts w:ascii="Arial" w:eastAsia="Verdana" w:hAnsi="Arial" w:cs="Arial"/>
                <w:lang w:val="en-GB"/>
              </w:rPr>
              <w:t>Outcome</w:t>
            </w:r>
          </w:p>
        </w:tc>
        <w:tc>
          <w:tcPr>
            <w:tcW w:w="7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Action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Due Date</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2454F0" w:rsidRPr="00DA4925" w:rsidRDefault="002454F0" w:rsidP="007B2549">
            <w:pPr>
              <w:spacing w:after="0" w:line="240" w:lineRule="auto"/>
              <w:rPr>
                <w:rFonts w:ascii="Arial" w:eastAsia="Verdana" w:hAnsi="Arial" w:cs="Arial"/>
                <w:lang w:val="en-GB"/>
              </w:rPr>
            </w:pPr>
            <w:r w:rsidRPr="00DA4925">
              <w:rPr>
                <w:rFonts w:ascii="Arial" w:eastAsia="Verdana" w:hAnsi="Arial" w:cs="Arial"/>
                <w:lang w:val="en-GB"/>
              </w:rPr>
              <w:t>Assigned To</w:t>
            </w:r>
          </w:p>
        </w:tc>
      </w:tr>
      <w:tr w:rsidR="009A2E8A" w:rsidRPr="00DA4925" w:rsidTr="00896A0F">
        <w:trPr>
          <w:trHeight w:val="292"/>
        </w:trPr>
        <w:tc>
          <w:tcPr>
            <w:tcW w:w="1600" w:type="dxa"/>
            <w:vMerge w:val="restart"/>
            <w:tcBorders>
              <w:top w:val="single" w:sz="4" w:space="0" w:color="auto"/>
              <w:left w:val="single" w:sz="4" w:space="0" w:color="auto"/>
              <w:bottom w:val="single" w:sz="4" w:space="0" w:color="auto"/>
              <w:right w:val="single" w:sz="4" w:space="0" w:color="auto"/>
            </w:tcBorders>
            <w:shd w:val="clear" w:color="auto" w:fill="FFFFFF"/>
          </w:tcPr>
          <w:p w:rsidR="009A2E8A" w:rsidRPr="002454F0" w:rsidRDefault="009A2E8A" w:rsidP="009A2E8A">
            <w:pPr>
              <w:spacing w:after="0" w:line="240" w:lineRule="auto"/>
              <w:ind w:right="-108"/>
              <w:rPr>
                <w:rFonts w:ascii="Arial" w:eastAsia="Verdana" w:hAnsi="Arial" w:cs="Arial"/>
                <w:lang w:val="en-GB"/>
              </w:rPr>
            </w:pPr>
            <w:r w:rsidRPr="002454F0">
              <w:rPr>
                <w:rFonts w:ascii="Arial" w:hAnsi="Arial" w:cs="Arial"/>
              </w:rPr>
              <w:t>Organisational Capabilities</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Committed and dynamic workforce</w:t>
            </w: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EA4289">
            <w:pPr>
              <w:spacing w:after="0" w:line="240" w:lineRule="auto"/>
              <w:rPr>
                <w:rFonts w:ascii="Arial" w:eastAsia="Verdana" w:hAnsi="Arial" w:cs="Arial"/>
                <w:lang w:val="en-GB"/>
              </w:rPr>
            </w:pPr>
            <w:r w:rsidRPr="00DA4925">
              <w:rPr>
                <w:rFonts w:ascii="Arial" w:eastAsia="Verdana" w:hAnsi="Arial" w:cs="Arial"/>
                <w:lang w:val="en-GB"/>
              </w:rPr>
              <w:t>Set out and communicate the 2018/19 strategic direction for all staff</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Undertake "back to the floor" visits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Develop fit for purpose structures for strategic area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0272E1">
            <w:pPr>
              <w:spacing w:after="0" w:line="240" w:lineRule="auto"/>
              <w:rPr>
                <w:rFonts w:ascii="Arial" w:eastAsia="Verdana" w:hAnsi="Arial" w:cs="Arial"/>
                <w:lang w:val="en-GB"/>
              </w:rPr>
            </w:pPr>
            <w:r w:rsidRPr="00DA4925">
              <w:rPr>
                <w:rFonts w:ascii="Arial" w:eastAsia="Verdana" w:hAnsi="Arial" w:cs="Arial"/>
                <w:lang w:val="en-GB"/>
              </w:rPr>
              <w:t>November 2017</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9A2E8A" w:rsidRPr="00DA4925" w:rsidRDefault="009A2E8A" w:rsidP="001837A0">
            <w:pPr>
              <w:spacing w:after="0" w:line="240" w:lineRule="auto"/>
              <w:rPr>
                <w:rFonts w:ascii="Arial" w:hAnsi="Arial" w:cs="Arial"/>
                <w:bCs/>
              </w:rPr>
            </w:pPr>
            <w:r w:rsidRPr="00DA4925">
              <w:rPr>
                <w:rFonts w:ascii="Arial" w:hAnsi="Arial" w:cs="Arial"/>
                <w:iCs/>
              </w:rPr>
              <w:t>Develop, implement and evaluate a local action plan, in line with the Council’s employee wellbeing strategy</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9A2E8A" w:rsidRPr="00DA4925" w:rsidRDefault="009A2E8A" w:rsidP="001837A0">
            <w:pPr>
              <w:spacing w:after="0" w:line="240" w:lineRule="auto"/>
              <w:rPr>
                <w:rFonts w:ascii="Arial" w:hAnsi="Arial" w:cs="Arial"/>
                <w:bCs/>
              </w:rPr>
            </w:pPr>
            <w:r w:rsidRPr="00DA4925">
              <w:rPr>
                <w:rFonts w:ascii="Arial" w:hAnsi="Arial" w:cs="Arial"/>
                <w:bCs/>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1837A0">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9A2E8A" w:rsidRPr="00DA4925" w:rsidRDefault="009A2E8A" w:rsidP="001837A0">
            <w:pPr>
              <w:spacing w:after="0" w:line="240" w:lineRule="auto"/>
              <w:rPr>
                <w:rFonts w:ascii="Arial" w:hAnsi="Arial" w:cs="Arial"/>
                <w:bCs/>
              </w:rPr>
            </w:pPr>
            <w:r w:rsidRPr="00DA4925">
              <w:rPr>
                <w:rFonts w:ascii="Arial" w:hAnsi="Arial" w:cs="Arial"/>
              </w:rPr>
              <w:t>Support implementation of Be the Best conversations through role modelling best practice, clear communications, and providing regular encouragement for all service areas to ensure Be the Best conversations are taking place for all employees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9A2E8A" w:rsidRPr="00DA4925" w:rsidRDefault="009A2E8A" w:rsidP="00744195">
            <w:pPr>
              <w:spacing w:after="0" w:line="240" w:lineRule="auto"/>
              <w:rPr>
                <w:rFonts w:ascii="Arial" w:hAnsi="Arial" w:cs="Arial"/>
                <w:bCs/>
              </w:rPr>
            </w:pPr>
            <w:r w:rsidRPr="00DA4925">
              <w:rPr>
                <w:rFonts w:ascii="Arial" w:hAnsi="Arial" w:cs="Arial"/>
                <w:bCs/>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44195">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Strong financial governance and sustainable budget management</w:t>
            </w: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9A2E8A">
            <w:pPr>
              <w:spacing w:after="0" w:line="240" w:lineRule="auto"/>
              <w:rPr>
                <w:rFonts w:ascii="Arial" w:eastAsia="Verdana" w:hAnsi="Arial" w:cs="Arial"/>
                <w:lang w:val="en-GB"/>
              </w:rPr>
            </w:pPr>
            <w:r w:rsidRPr="00DA4925">
              <w:rPr>
                <w:rFonts w:ascii="Arial" w:eastAsia="Verdana" w:hAnsi="Arial" w:cs="Arial"/>
                <w:lang w:val="en-GB"/>
              </w:rPr>
              <w:t xml:space="preserve">Develop and implement actions to address financial challenges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3D58C2">
            <w:pPr>
              <w:spacing w:after="0" w:line="240" w:lineRule="auto"/>
              <w:rPr>
                <w:rFonts w:ascii="Arial" w:eastAsia="Verdana" w:hAnsi="Arial" w:cs="Arial"/>
                <w:lang w:val="en-GB"/>
              </w:rPr>
            </w:pPr>
            <w:r w:rsidRPr="00DA4925">
              <w:rPr>
                <w:rFonts w:ascii="Arial" w:eastAsia="Verdana" w:hAnsi="Arial" w:cs="Arial"/>
                <w:lang w:val="en-GB"/>
              </w:rPr>
              <w:t>Maximise external funding opportunities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3D58C2">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3D58C2">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Develop proposals for management adjustments 2018/19 and 2019/20 to meet financial pressures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Develop savings options with fully defined/explained and costed options for approval by elected members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Monitor management adjustments for 2017/18 to ensure successful delivery of options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Participate in overall financial planning within revised strategic lead structure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Monitor financial performance throughout 2017/18</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Maximise procurement benefit</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September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r w:rsidR="009A2E8A" w:rsidRPr="00DA4925" w:rsidTr="00896A0F">
        <w:tc>
          <w:tcPr>
            <w:tcW w:w="1600" w:type="dxa"/>
            <w:vMerge/>
            <w:tcBorders>
              <w:top w:val="single" w:sz="4" w:space="0" w:color="auto"/>
              <w:left w:val="single" w:sz="4" w:space="0" w:color="auto"/>
              <w:bottom w:val="single" w:sz="4" w:space="0" w:color="auto"/>
              <w:right w:val="single" w:sz="4" w:space="0" w:color="auto"/>
            </w:tcBorders>
            <w:shd w:val="clear" w:color="auto" w:fill="FFFFFF"/>
          </w:tcPr>
          <w:p w:rsidR="009A2E8A" w:rsidRPr="00DA4925" w:rsidRDefault="009A2E8A" w:rsidP="007B2549">
            <w:pPr>
              <w:spacing w:after="0" w:line="240" w:lineRule="auto"/>
              <w:rPr>
                <w:rFonts w:ascii="Arial" w:eastAsia="Verdana" w:hAnsi="Arial" w:cs="Arial"/>
                <w:lang w:val="en-GB"/>
              </w:rPr>
            </w:pP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Strong corporate governance</w:t>
            </w:r>
          </w:p>
        </w:tc>
        <w:tc>
          <w:tcPr>
            <w:tcW w:w="708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9A2E8A" w:rsidRPr="00DA4925" w:rsidRDefault="009A2E8A" w:rsidP="00744195">
            <w:pPr>
              <w:spacing w:after="0" w:line="240" w:lineRule="auto"/>
              <w:rPr>
                <w:rFonts w:ascii="Arial" w:hAnsi="Arial" w:cs="Arial"/>
                <w:lang w:val="en-GB"/>
              </w:rPr>
            </w:pPr>
            <w:r w:rsidRPr="00DA4925">
              <w:rPr>
                <w:rFonts w:ascii="Arial" w:hAnsi="Arial" w:cs="Arial"/>
                <w:lang w:val="en-GB"/>
              </w:rPr>
              <w:t>Implement customer services improvement actions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9A2E8A" w:rsidRPr="00DA4925" w:rsidRDefault="009A2E8A" w:rsidP="007B2549">
            <w:pPr>
              <w:spacing w:after="0" w:line="240" w:lineRule="auto"/>
              <w:rPr>
                <w:rFonts w:ascii="Arial" w:hAnsi="Arial" w:cs="Arial"/>
                <w:lang w:val="en-GB" w:eastAsia="en-GB"/>
              </w:rPr>
            </w:pPr>
            <w:r w:rsidRPr="00DA4925">
              <w:rPr>
                <w:rFonts w:ascii="Arial" w:hAnsi="Arial" w:cs="Arial"/>
                <w:lang w:val="en-GB" w:eastAsia="en-GB"/>
              </w:rPr>
              <w:t>March 2018</w:t>
            </w:r>
          </w:p>
        </w:tc>
        <w:tc>
          <w:tcPr>
            <w:tcW w:w="1702"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1837A0">
            <w:pPr>
              <w:spacing w:after="0" w:line="240" w:lineRule="auto"/>
              <w:rPr>
                <w:rFonts w:ascii="Arial" w:eastAsia="Verdana" w:hAnsi="Arial" w:cs="Arial"/>
                <w:lang w:val="en-GB"/>
              </w:rPr>
            </w:pPr>
            <w:r w:rsidRPr="00DA4925">
              <w:rPr>
                <w:rFonts w:ascii="Arial" w:eastAsia="Verdana" w:hAnsi="Arial" w:cs="Arial"/>
                <w:lang w:val="en-GB"/>
              </w:rPr>
              <w:t>Ronnie Dinnie</w:t>
            </w:r>
          </w:p>
        </w:tc>
      </w:tr>
    </w:tbl>
    <w:p w:rsidR="00C76122" w:rsidRDefault="00C76122" w:rsidP="007B2549">
      <w:pPr>
        <w:spacing w:after="0" w:line="240" w:lineRule="auto"/>
        <w:rPr>
          <w:rFonts w:ascii="Arial" w:hAnsi="Arial" w:cs="Arial"/>
          <w:b/>
        </w:rPr>
      </w:pPr>
    </w:p>
    <w:p w:rsidR="009A2E8A" w:rsidRDefault="009A2E8A" w:rsidP="007B2549">
      <w:pPr>
        <w:spacing w:after="0" w:line="240" w:lineRule="auto"/>
        <w:rPr>
          <w:rFonts w:ascii="Arial" w:hAnsi="Arial" w:cs="Arial"/>
          <w:b/>
        </w:rPr>
      </w:pPr>
    </w:p>
    <w:p w:rsidR="00053AD9" w:rsidRPr="00DA4925" w:rsidRDefault="00053AD9" w:rsidP="007B2549">
      <w:pPr>
        <w:spacing w:after="0" w:line="240" w:lineRule="auto"/>
        <w:rPr>
          <w:rFonts w:ascii="Arial" w:hAnsi="Arial" w:cs="Arial"/>
          <w:b/>
        </w:rPr>
      </w:pPr>
    </w:p>
    <w:p w:rsidR="00C76122" w:rsidRPr="00DA4925" w:rsidRDefault="00C76122" w:rsidP="007B2549">
      <w:pPr>
        <w:spacing w:after="0" w:line="240" w:lineRule="auto"/>
        <w:rPr>
          <w:rFonts w:ascii="Arial" w:hAnsi="Arial" w:cs="Arial"/>
          <w:b/>
        </w:rPr>
      </w:pPr>
    </w:p>
    <w:tbl>
      <w:tblPr>
        <w:tblW w:w="502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2268"/>
        <w:gridCol w:w="7087"/>
        <w:gridCol w:w="1559"/>
        <w:gridCol w:w="1701"/>
      </w:tblGrid>
      <w:tr w:rsidR="009A2E8A" w:rsidRPr="00DA4925" w:rsidTr="00896A0F">
        <w:trPr>
          <w:tblHeader/>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E8A" w:rsidRPr="00DA4925" w:rsidRDefault="009A2E8A" w:rsidP="007B2549">
            <w:pPr>
              <w:spacing w:after="0" w:line="240" w:lineRule="auto"/>
              <w:rPr>
                <w:rFonts w:ascii="Arial" w:eastAsia="Verdana" w:hAnsi="Arial" w:cs="Arial"/>
                <w:lang w:val="en-GB"/>
              </w:rPr>
            </w:pPr>
            <w:r>
              <w:rPr>
                <w:rFonts w:ascii="Arial" w:eastAsia="Verdana" w:hAnsi="Arial" w:cs="Arial"/>
                <w:lang w:val="en-GB"/>
              </w:rPr>
              <w:lastRenderedPageBreak/>
              <w:t>Priority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9A2E8A" w:rsidRPr="00DA4925" w:rsidRDefault="009A2E8A" w:rsidP="007B2549">
            <w:pPr>
              <w:spacing w:after="0" w:line="240" w:lineRule="auto"/>
              <w:rPr>
                <w:rFonts w:ascii="Arial" w:hAnsi="Arial" w:cs="Arial"/>
                <w:lang w:val="en-GB"/>
              </w:rPr>
            </w:pPr>
            <w:r w:rsidRPr="00DA4925">
              <w:rPr>
                <w:rFonts w:ascii="Arial" w:eastAsia="Verdana" w:hAnsi="Arial" w:cs="Arial"/>
                <w:lang w:val="en-GB"/>
              </w:rPr>
              <w:t>O</w:t>
            </w:r>
            <w:r>
              <w:rPr>
                <w:rFonts w:ascii="Arial" w:eastAsia="Verdana" w:hAnsi="Arial" w:cs="Arial"/>
                <w:lang w:val="en-GB"/>
              </w:rPr>
              <w:t>utcome</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Action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Due Date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Assigned To</w:t>
            </w:r>
          </w:p>
        </w:tc>
      </w:tr>
      <w:tr w:rsidR="009A2E8A" w:rsidRPr="00DA4925" w:rsidTr="00896A0F">
        <w:tc>
          <w:tcPr>
            <w:tcW w:w="1600" w:type="dxa"/>
            <w:tcBorders>
              <w:top w:val="single" w:sz="4" w:space="0" w:color="auto"/>
              <w:left w:val="single" w:sz="4" w:space="0" w:color="auto"/>
              <w:bottom w:val="single" w:sz="4" w:space="0" w:color="auto"/>
              <w:right w:val="single" w:sz="4" w:space="0" w:color="auto"/>
            </w:tcBorders>
            <w:shd w:val="clear" w:color="auto" w:fill="FFFFFF"/>
          </w:tcPr>
          <w:p w:rsidR="009A2E8A" w:rsidRPr="009A2E8A" w:rsidRDefault="009A2E8A" w:rsidP="007B2549">
            <w:pPr>
              <w:spacing w:after="0" w:line="240" w:lineRule="auto"/>
              <w:rPr>
                <w:rFonts w:ascii="Arial" w:eastAsia="Verdana" w:hAnsi="Arial" w:cs="Arial"/>
                <w:lang w:val="en-GB"/>
              </w:rPr>
            </w:pPr>
            <w:r w:rsidRPr="009A2E8A">
              <w:rPr>
                <w:rFonts w:ascii="Arial" w:hAnsi="Arial" w:cs="Arial"/>
              </w:rPr>
              <w:t>Legitimacy &amp; Support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Constructive partnership working and joined up service delivery</w:t>
            </w:r>
          </w:p>
        </w:tc>
        <w:tc>
          <w:tcPr>
            <w:tcW w:w="708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Develop the shared service approach for service delivery</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March 2018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9A2E8A" w:rsidRPr="00DA4925" w:rsidRDefault="009A2E8A" w:rsidP="007B2549">
            <w:pPr>
              <w:spacing w:after="0" w:line="240" w:lineRule="auto"/>
              <w:rPr>
                <w:rFonts w:ascii="Arial" w:eastAsia="Verdana" w:hAnsi="Arial" w:cs="Arial"/>
                <w:lang w:val="en-GB"/>
              </w:rPr>
            </w:pPr>
            <w:r w:rsidRPr="00DA4925">
              <w:rPr>
                <w:rFonts w:ascii="Arial" w:eastAsia="Verdana" w:hAnsi="Arial" w:cs="Arial"/>
                <w:lang w:val="en-GB"/>
              </w:rPr>
              <w:t>Ronnie Dinnie</w:t>
            </w:r>
          </w:p>
        </w:tc>
      </w:tr>
    </w:tbl>
    <w:p w:rsidR="00D4174E" w:rsidRPr="00DA4925" w:rsidRDefault="00D4174E" w:rsidP="00744C7A">
      <w:pPr>
        <w:spacing w:after="0" w:line="240" w:lineRule="auto"/>
        <w:rPr>
          <w:lang w:val="en-GB"/>
        </w:rPr>
      </w:pPr>
    </w:p>
    <w:p w:rsidR="00D4174E" w:rsidRPr="00DA4925" w:rsidRDefault="00D4174E" w:rsidP="00CF594D">
      <w:pPr>
        <w:rPr>
          <w:rFonts w:ascii="Arial" w:hAnsi="Arial" w:cs="Arial"/>
        </w:rPr>
      </w:pPr>
    </w:p>
    <w:p w:rsidR="00C575B9" w:rsidRPr="00DA4925" w:rsidRDefault="00C575B9" w:rsidP="0019210F">
      <w:pPr>
        <w:pStyle w:val="ListParagraph"/>
        <w:numPr>
          <w:ilvl w:val="0"/>
          <w:numId w:val="5"/>
        </w:numPr>
        <w:rPr>
          <w:rFonts w:ascii="Arial" w:hAnsi="Arial" w:cs="Arial"/>
          <w:sz w:val="22"/>
          <w:szCs w:val="22"/>
        </w:rPr>
        <w:sectPr w:rsidR="00C575B9" w:rsidRPr="00DA4925" w:rsidSect="001D5676">
          <w:pgSz w:w="15840" w:h="12240" w:orient="landscape"/>
          <w:pgMar w:top="1418" w:right="1077" w:bottom="1418" w:left="771" w:header="709" w:footer="709" w:gutter="119"/>
          <w:cols w:space="708"/>
          <w:titlePg/>
          <w:docGrid w:linePitch="360"/>
        </w:sectPr>
      </w:pPr>
    </w:p>
    <w:p w:rsidR="00852D0C" w:rsidRPr="00DA4925" w:rsidRDefault="00852D0C" w:rsidP="00852D0C">
      <w:pPr>
        <w:pStyle w:val="Heading1"/>
        <w:spacing w:before="0" w:after="0" w:line="240" w:lineRule="auto"/>
        <w:rPr>
          <w:bCs w:val="0"/>
          <w:sz w:val="28"/>
          <w:szCs w:val="28"/>
          <w:lang w:val="en-GB"/>
        </w:rPr>
      </w:pPr>
      <w:r w:rsidRPr="00DA4925">
        <w:rPr>
          <w:bCs w:val="0"/>
          <w:sz w:val="28"/>
          <w:szCs w:val="28"/>
          <w:lang w:val="en-GB"/>
        </w:rPr>
        <w:lastRenderedPageBreak/>
        <w:t>Appendix 3: Performance Indicators 2017/18</w:t>
      </w:r>
    </w:p>
    <w:p w:rsidR="00852D0C" w:rsidRPr="00DA4925" w:rsidRDefault="00852D0C" w:rsidP="00852D0C">
      <w:pPr>
        <w:spacing w:after="0" w:line="240" w:lineRule="auto"/>
        <w:rPr>
          <w:rFonts w:ascii="Arial" w:hAnsi="Arial" w:cs="Arial"/>
          <w:lang w:val="en-GB"/>
        </w:rPr>
      </w:pPr>
    </w:p>
    <w:p w:rsidR="004A0C4C" w:rsidRPr="00DA4925" w:rsidRDefault="004A0C4C" w:rsidP="004A0C4C">
      <w:pPr>
        <w:spacing w:line="240" w:lineRule="auto"/>
        <w:rPr>
          <w:rFonts w:ascii="Arial" w:hAnsi="Arial" w:cs="Arial"/>
          <w:lang w:val="en-GB"/>
        </w:rPr>
      </w:pPr>
      <w:r w:rsidRPr="00DA4925">
        <w:rPr>
          <w:rFonts w:ascii="Arial" w:hAnsi="Arial" w:cs="Arial"/>
          <w:lang w:val="en-GB"/>
        </w:rPr>
        <w:t>The following performance indicators will be integrated in the Action Plan (Appendix 2) and monitored, managed and reported in accordance with the Performance Management Framework.</w:t>
      </w:r>
    </w:p>
    <w:p w:rsidR="00852D0C" w:rsidRPr="00DA4925" w:rsidRDefault="00852D0C" w:rsidP="00852D0C">
      <w:pPr>
        <w:spacing w:after="0" w:line="240" w:lineRule="auto"/>
        <w:rPr>
          <w:rFonts w:ascii="Arial" w:hAnsi="Arial" w:cs="Arial"/>
          <w:b/>
          <w:lang w:val="en-GB"/>
        </w:rPr>
      </w:pPr>
      <w:r w:rsidRPr="00DA4925">
        <w:rPr>
          <w:rFonts w:ascii="Arial" w:hAnsi="Arial" w:cs="Arial"/>
          <w:b/>
          <w:lang w:val="en-GB"/>
        </w:rPr>
        <w:t>Strategic Plan PIs:</w:t>
      </w:r>
    </w:p>
    <w:p w:rsidR="00852D0C" w:rsidRPr="00DA4925" w:rsidRDefault="00852D0C" w:rsidP="00852D0C">
      <w:pPr>
        <w:tabs>
          <w:tab w:val="left" w:pos="2874"/>
        </w:tabs>
        <w:spacing w:after="0" w:line="240" w:lineRule="auto"/>
        <w:rPr>
          <w:rFonts w:ascii="Arial" w:eastAsia="Verdana"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DA4925" w:rsidRPr="00DA4925" w:rsidTr="00896A0F">
        <w:tc>
          <w:tcPr>
            <w:tcW w:w="1384" w:type="dxa"/>
            <w:shd w:val="clear" w:color="auto" w:fill="auto"/>
          </w:tcPr>
          <w:p w:rsidR="00852D0C" w:rsidRPr="00DA4925" w:rsidRDefault="00403176" w:rsidP="00403176">
            <w:pPr>
              <w:spacing w:after="0" w:line="240" w:lineRule="auto"/>
              <w:rPr>
                <w:rFonts w:ascii="Arial" w:eastAsia="Verdana" w:hAnsi="Arial" w:cs="Arial"/>
              </w:rPr>
            </w:pPr>
            <w:r w:rsidRPr="00DA4925">
              <w:rPr>
                <w:rFonts w:ascii="Arial" w:eastAsia="Verdana" w:hAnsi="Arial" w:cs="Arial"/>
                <w:lang w:val="en-GB"/>
              </w:rPr>
              <w:t>SENV06</w:t>
            </w:r>
          </w:p>
        </w:tc>
        <w:tc>
          <w:tcPr>
            <w:tcW w:w="8222" w:type="dxa"/>
            <w:shd w:val="clear" w:color="auto" w:fill="auto"/>
          </w:tcPr>
          <w:p w:rsidR="00852D0C" w:rsidRPr="00DA4925" w:rsidRDefault="00FE153B" w:rsidP="00403176">
            <w:pPr>
              <w:spacing w:after="0" w:line="240" w:lineRule="auto"/>
              <w:rPr>
                <w:rFonts w:ascii="Arial" w:eastAsia="Verdana" w:hAnsi="Arial" w:cs="Arial"/>
              </w:rPr>
            </w:pPr>
            <w:r w:rsidRPr="00DA4925">
              <w:rPr>
                <w:rFonts w:ascii="Arial" w:eastAsia="Verdana" w:hAnsi="Arial" w:cs="Arial"/>
                <w:lang w:val="en-GB"/>
              </w:rPr>
              <w:t>Percentage</w:t>
            </w:r>
            <w:r w:rsidR="00403176" w:rsidRPr="00DA4925">
              <w:rPr>
                <w:rFonts w:ascii="Arial" w:eastAsia="Verdana" w:hAnsi="Arial" w:cs="Arial"/>
                <w:lang w:val="en-GB"/>
              </w:rPr>
              <w:t xml:space="preserve"> of total household waste that is recycled</w:t>
            </w:r>
          </w:p>
        </w:tc>
      </w:tr>
      <w:tr w:rsidR="00DA4925" w:rsidRPr="00DA4925" w:rsidTr="00896A0F">
        <w:trPr>
          <w:trHeight w:val="396"/>
        </w:trPr>
        <w:tc>
          <w:tcPr>
            <w:tcW w:w="1384" w:type="dxa"/>
            <w:shd w:val="clear" w:color="auto" w:fill="auto"/>
            <w:vAlign w:val="center"/>
          </w:tcPr>
          <w:p w:rsidR="00403176" w:rsidRPr="00DA4925" w:rsidRDefault="00403176" w:rsidP="00403176">
            <w:pPr>
              <w:spacing w:after="0" w:line="240" w:lineRule="auto"/>
              <w:rPr>
                <w:rFonts w:ascii="Arial" w:eastAsia="Verdana" w:hAnsi="Arial" w:cs="Arial"/>
                <w:lang w:val="en-GB"/>
              </w:rPr>
            </w:pPr>
            <w:r w:rsidRPr="00DA4925">
              <w:rPr>
                <w:rFonts w:ascii="Arial" w:eastAsia="Verdana" w:hAnsi="Arial" w:cs="Arial"/>
                <w:lang w:val="en-GB"/>
              </w:rPr>
              <w:t>SRL1e</w:t>
            </w:r>
          </w:p>
        </w:tc>
        <w:tc>
          <w:tcPr>
            <w:tcW w:w="8222" w:type="dxa"/>
            <w:shd w:val="clear" w:color="auto" w:fill="auto"/>
            <w:vAlign w:val="center"/>
          </w:tcPr>
          <w:p w:rsidR="00403176" w:rsidRPr="00DA4925" w:rsidRDefault="00403176" w:rsidP="00403176">
            <w:pPr>
              <w:spacing w:after="0" w:line="240" w:lineRule="auto"/>
              <w:rPr>
                <w:rFonts w:ascii="Arial" w:eastAsia="Verdana" w:hAnsi="Arial" w:cs="Arial"/>
                <w:lang w:val="en-GB"/>
              </w:rPr>
            </w:pPr>
            <w:r w:rsidRPr="00DA4925">
              <w:rPr>
                <w:rFonts w:ascii="Arial" w:eastAsia="Verdana" w:hAnsi="Arial" w:cs="Arial"/>
                <w:lang w:val="en-GB"/>
              </w:rPr>
              <w:t>Overall percentage of road network that should be considered for maintenance treatment</w:t>
            </w:r>
          </w:p>
        </w:tc>
      </w:tr>
      <w:tr w:rsidR="00403176" w:rsidRPr="00DA4925" w:rsidTr="00896A0F">
        <w:tc>
          <w:tcPr>
            <w:tcW w:w="1384" w:type="dxa"/>
            <w:shd w:val="clear" w:color="auto" w:fill="auto"/>
            <w:vAlign w:val="center"/>
          </w:tcPr>
          <w:p w:rsidR="00403176" w:rsidRPr="00DA4925" w:rsidRDefault="00403176" w:rsidP="00403176">
            <w:pPr>
              <w:spacing w:after="0" w:line="240" w:lineRule="auto"/>
              <w:rPr>
                <w:rFonts w:ascii="Arial" w:eastAsia="Verdana" w:hAnsi="Arial" w:cs="Arial"/>
                <w:lang w:val="en-GB"/>
              </w:rPr>
            </w:pPr>
            <w:r w:rsidRPr="00DA4925">
              <w:rPr>
                <w:rFonts w:ascii="Arial" w:eastAsia="Verdana" w:hAnsi="Arial" w:cs="Arial"/>
                <w:lang w:val="en-GB"/>
              </w:rPr>
              <w:t>SCC2</w:t>
            </w:r>
          </w:p>
        </w:tc>
        <w:tc>
          <w:tcPr>
            <w:tcW w:w="8222" w:type="dxa"/>
            <w:shd w:val="clear" w:color="auto" w:fill="auto"/>
            <w:vAlign w:val="center"/>
          </w:tcPr>
          <w:p w:rsidR="00403176" w:rsidRPr="00DA4925" w:rsidRDefault="00403176" w:rsidP="00403176">
            <w:pPr>
              <w:spacing w:after="0" w:line="240" w:lineRule="auto"/>
              <w:rPr>
                <w:rFonts w:ascii="Arial" w:eastAsia="Verdana" w:hAnsi="Arial" w:cs="Arial"/>
                <w:lang w:val="en-GB"/>
              </w:rPr>
            </w:pPr>
            <w:r w:rsidRPr="00DA4925">
              <w:rPr>
                <w:rFonts w:ascii="Arial" w:eastAsia="Verdana" w:hAnsi="Arial" w:cs="Arial"/>
                <w:lang w:val="en-GB"/>
              </w:rPr>
              <w:t>Number of attendances per 1,000 population for indoor sports and leisure facilities</w:t>
            </w:r>
          </w:p>
        </w:tc>
      </w:tr>
    </w:tbl>
    <w:p w:rsidR="00852D0C" w:rsidRPr="00DA4925" w:rsidRDefault="00852D0C" w:rsidP="00165C01">
      <w:pPr>
        <w:tabs>
          <w:tab w:val="left" w:pos="1741"/>
          <w:tab w:val="left" w:pos="7777"/>
          <w:tab w:val="left" w:pos="8544"/>
          <w:tab w:val="left" w:pos="9310"/>
          <w:tab w:val="left" w:pos="10076"/>
          <w:tab w:val="left" w:pos="10842"/>
          <w:tab w:val="left" w:pos="11608"/>
          <w:tab w:val="left" w:pos="12374"/>
          <w:tab w:val="left" w:pos="13140"/>
          <w:tab w:val="left" w:pos="13906"/>
          <w:tab w:val="left" w:pos="14672"/>
        </w:tabs>
        <w:spacing w:after="0" w:line="240" w:lineRule="auto"/>
        <w:rPr>
          <w:rFonts w:ascii="Arial" w:eastAsia="Verdana" w:hAnsi="Arial" w:cs="Arial"/>
          <w:b/>
        </w:rPr>
      </w:pPr>
    </w:p>
    <w:p w:rsidR="00852D0C" w:rsidRPr="00DA4925" w:rsidRDefault="00852D0C" w:rsidP="00852D0C">
      <w:pPr>
        <w:tabs>
          <w:tab w:val="left" w:pos="1741"/>
          <w:tab w:val="left" w:pos="7777"/>
          <w:tab w:val="left" w:pos="8544"/>
          <w:tab w:val="left" w:pos="9310"/>
          <w:tab w:val="left" w:pos="10076"/>
          <w:tab w:val="left" w:pos="10842"/>
          <w:tab w:val="left" w:pos="11608"/>
          <w:tab w:val="left" w:pos="12374"/>
          <w:tab w:val="left" w:pos="13140"/>
          <w:tab w:val="left" w:pos="13906"/>
          <w:tab w:val="left" w:pos="14672"/>
        </w:tabs>
        <w:rPr>
          <w:rFonts w:ascii="Arial" w:eastAsia="Verdana" w:hAnsi="Arial" w:cs="Arial"/>
          <w:b/>
        </w:rPr>
      </w:pPr>
      <w:r w:rsidRPr="00DA4925">
        <w:rPr>
          <w:rFonts w:ascii="Arial" w:eastAsia="Verdana" w:hAnsi="Arial" w:cs="Arial"/>
          <w:b/>
        </w:rPr>
        <w:t>Local Government Benchmarking Framework PIs:</w:t>
      </w:r>
    </w:p>
    <w:tbl>
      <w:tblPr>
        <w:tblStyle w:val="TableGrid"/>
        <w:tblW w:w="9606" w:type="dxa"/>
        <w:tblLayout w:type="fixed"/>
        <w:tblLook w:val="04A0" w:firstRow="1" w:lastRow="0" w:firstColumn="1" w:lastColumn="0" w:noHBand="0" w:noVBand="1"/>
      </w:tblPr>
      <w:tblGrid>
        <w:gridCol w:w="1384"/>
        <w:gridCol w:w="8222"/>
      </w:tblGrid>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C&amp;L1</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Cost per attendance at Sports facilities</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C&amp;L4</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Cost of Parks&amp; Open Spaces per 1,000 Population</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C&amp;L5b</w:t>
            </w:r>
          </w:p>
        </w:tc>
        <w:tc>
          <w:tcPr>
            <w:tcW w:w="8222" w:type="dxa"/>
            <w:shd w:val="clear" w:color="auto" w:fill="auto"/>
            <w:vAlign w:val="bottom"/>
          </w:tcPr>
          <w:p w:rsidR="00852D0C" w:rsidRPr="00DA4925" w:rsidRDefault="00FE153B"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Percentage</w:t>
            </w:r>
            <w:r w:rsidR="00852D0C" w:rsidRPr="00DA4925">
              <w:rPr>
                <w:rFonts w:ascii="Arial" w:eastAsia="Times New Roman" w:hAnsi="Arial" w:cs="Arial"/>
                <w:lang w:eastAsia="en-GB"/>
              </w:rPr>
              <w:t xml:space="preserve"> of adults satisfied with parks and open spaces</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C&amp;L5d</w:t>
            </w:r>
          </w:p>
        </w:tc>
        <w:tc>
          <w:tcPr>
            <w:tcW w:w="8222" w:type="dxa"/>
            <w:shd w:val="clear" w:color="auto" w:fill="auto"/>
            <w:vAlign w:val="bottom"/>
          </w:tcPr>
          <w:p w:rsidR="00852D0C" w:rsidRPr="00DA4925" w:rsidRDefault="00FE153B"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Percentage</w:t>
            </w:r>
            <w:r w:rsidR="00852D0C" w:rsidRPr="00DA4925">
              <w:rPr>
                <w:rFonts w:ascii="Arial" w:eastAsia="Times New Roman" w:hAnsi="Arial" w:cs="Arial"/>
                <w:lang w:eastAsia="en-GB"/>
              </w:rPr>
              <w:t xml:space="preserve"> of adults satisfied with leisure facilities</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ENV1a</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Net cost per Waste collection per premises</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ENV2a</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Net cost per Waste disposal per premises</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ENV3a</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Net cost of street cleaning per 1,000 population</w:t>
            </w:r>
          </w:p>
        </w:tc>
      </w:tr>
      <w:tr w:rsidR="00DA4925" w:rsidRPr="00DA4925" w:rsidTr="00896A0F">
        <w:tc>
          <w:tcPr>
            <w:tcW w:w="1384"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ENV3c</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Cleanliness Score (% Acceptable)</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ENV4a</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Cost of maintenance per kilometre of roads</w:t>
            </w:r>
          </w:p>
        </w:tc>
      </w:tr>
      <w:tr w:rsidR="00DA4925" w:rsidRPr="00DA4925" w:rsidTr="00896A0F">
        <w:trPr>
          <w:trHeight w:val="332"/>
        </w:trPr>
        <w:tc>
          <w:tcPr>
            <w:tcW w:w="1384" w:type="dxa"/>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ENV4b</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Percentage of A class roads that should be considered for maintenance treatment</w:t>
            </w:r>
          </w:p>
        </w:tc>
      </w:tr>
      <w:tr w:rsidR="00DA4925" w:rsidRPr="00DA4925" w:rsidTr="00896A0F">
        <w:tc>
          <w:tcPr>
            <w:tcW w:w="1384" w:type="dxa"/>
            <w:vAlign w:val="bottom"/>
          </w:tcPr>
          <w:p w:rsidR="00852D0C" w:rsidRPr="00DA4925" w:rsidRDefault="00716BEF"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w:t>
            </w:r>
            <w:r w:rsidR="00852D0C" w:rsidRPr="00DA4925">
              <w:rPr>
                <w:rFonts w:ascii="Arial" w:eastAsia="Times New Roman" w:hAnsi="Arial" w:cs="Arial"/>
                <w:lang w:eastAsia="en-GB"/>
              </w:rPr>
              <w:t>4c</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Percentage of B class roads that should be considered for maintenance treatment</w:t>
            </w:r>
          </w:p>
        </w:tc>
      </w:tr>
      <w:tr w:rsidR="00DA4925" w:rsidRPr="00DA4925" w:rsidTr="00896A0F">
        <w:tc>
          <w:tcPr>
            <w:tcW w:w="1384" w:type="dxa"/>
            <w:vAlign w:val="bottom"/>
          </w:tcPr>
          <w:p w:rsidR="00852D0C" w:rsidRPr="00DA4925" w:rsidRDefault="00716BEF"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ENV</w:t>
            </w:r>
            <w:r w:rsidR="00852D0C" w:rsidRPr="00DA4925">
              <w:rPr>
                <w:rFonts w:ascii="Arial" w:eastAsia="Times New Roman" w:hAnsi="Arial" w:cs="Arial"/>
                <w:lang w:eastAsia="en-GB"/>
              </w:rPr>
              <w:t>4d</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b/>
                <w:bCs/>
                <w:lang w:eastAsia="en-GB"/>
              </w:rPr>
            </w:pPr>
            <w:r w:rsidRPr="00DA4925">
              <w:rPr>
                <w:rFonts w:ascii="Arial" w:eastAsia="Times New Roman" w:hAnsi="Arial" w:cs="Arial"/>
                <w:lang w:eastAsia="en-GB"/>
              </w:rPr>
              <w:t>Percentage of C class roads that should be considered for maintenance treatment</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ENV4e</w:t>
            </w:r>
          </w:p>
        </w:tc>
        <w:tc>
          <w:tcPr>
            <w:tcW w:w="8222" w:type="dxa"/>
            <w:shd w:val="clear" w:color="auto" w:fill="auto"/>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Percentage of unclassified roads that should be considered for maintenance</w:t>
            </w:r>
          </w:p>
        </w:tc>
      </w:tr>
      <w:tr w:rsidR="00DA4925" w:rsidRPr="00DA4925" w:rsidTr="00896A0F">
        <w:tc>
          <w:tcPr>
            <w:tcW w:w="1384" w:type="dxa"/>
            <w:vAlign w:val="bottom"/>
          </w:tcPr>
          <w:p w:rsidR="00852D0C" w:rsidRPr="00DA4925" w:rsidRDefault="00852D0C"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ENV6</w:t>
            </w:r>
          </w:p>
        </w:tc>
        <w:tc>
          <w:tcPr>
            <w:tcW w:w="8222" w:type="dxa"/>
            <w:shd w:val="clear" w:color="auto" w:fill="auto"/>
            <w:vAlign w:val="bottom"/>
          </w:tcPr>
          <w:p w:rsidR="00852D0C" w:rsidRPr="00DA4925" w:rsidRDefault="00FE153B" w:rsidP="00852D0C">
            <w:pPr>
              <w:spacing w:after="0" w:line="240" w:lineRule="auto"/>
              <w:rPr>
                <w:rFonts w:ascii="Arial" w:eastAsia="Times New Roman" w:hAnsi="Arial" w:cs="Arial"/>
                <w:lang w:eastAsia="en-GB"/>
              </w:rPr>
            </w:pPr>
            <w:r w:rsidRPr="00DA4925">
              <w:rPr>
                <w:rFonts w:ascii="Arial" w:eastAsia="Times New Roman" w:hAnsi="Arial" w:cs="Arial"/>
                <w:lang w:eastAsia="en-GB"/>
              </w:rPr>
              <w:t>Percentage</w:t>
            </w:r>
            <w:r w:rsidR="00852D0C" w:rsidRPr="00DA4925">
              <w:rPr>
                <w:rFonts w:ascii="Arial" w:eastAsia="Times New Roman" w:hAnsi="Arial" w:cs="Arial"/>
                <w:lang w:eastAsia="en-GB"/>
              </w:rPr>
              <w:t xml:space="preserve"> of total waste arising that is recycled</w:t>
            </w:r>
          </w:p>
        </w:tc>
      </w:tr>
      <w:tr w:rsidR="00DA4925" w:rsidRPr="00DA4925" w:rsidTr="00896A0F">
        <w:tc>
          <w:tcPr>
            <w:tcW w:w="1384" w:type="dxa"/>
            <w:vAlign w:val="bottom"/>
          </w:tcPr>
          <w:p w:rsidR="00852D0C" w:rsidRPr="00DA4925" w:rsidRDefault="00852D0C" w:rsidP="00DF7028">
            <w:pPr>
              <w:spacing w:after="0" w:line="240" w:lineRule="auto"/>
              <w:rPr>
                <w:rFonts w:ascii="Arial" w:eastAsia="Times New Roman" w:hAnsi="Arial" w:cs="Arial"/>
                <w:lang w:eastAsia="en-GB"/>
              </w:rPr>
            </w:pPr>
            <w:r w:rsidRPr="00DA4925">
              <w:rPr>
                <w:rFonts w:ascii="Arial" w:eastAsia="Times New Roman" w:hAnsi="Arial" w:cs="Arial"/>
                <w:lang w:eastAsia="en-GB"/>
              </w:rPr>
              <w:t>ENV7a</w:t>
            </w:r>
          </w:p>
        </w:tc>
        <w:tc>
          <w:tcPr>
            <w:tcW w:w="8222" w:type="dxa"/>
            <w:shd w:val="clear" w:color="auto" w:fill="auto"/>
            <w:vAlign w:val="bottom"/>
          </w:tcPr>
          <w:p w:rsidR="00852D0C" w:rsidRPr="00DA4925" w:rsidRDefault="00FE153B" w:rsidP="00DF7028">
            <w:pPr>
              <w:spacing w:after="0" w:line="240" w:lineRule="auto"/>
              <w:rPr>
                <w:rFonts w:ascii="Arial" w:eastAsia="Times New Roman" w:hAnsi="Arial" w:cs="Arial"/>
                <w:lang w:eastAsia="en-GB"/>
              </w:rPr>
            </w:pPr>
            <w:r w:rsidRPr="00DA4925">
              <w:rPr>
                <w:rFonts w:ascii="Arial" w:eastAsia="Times New Roman" w:hAnsi="Arial" w:cs="Arial"/>
                <w:lang w:eastAsia="en-GB"/>
              </w:rPr>
              <w:t>Percentage</w:t>
            </w:r>
            <w:r w:rsidR="00852D0C" w:rsidRPr="00DA4925">
              <w:rPr>
                <w:rFonts w:ascii="Arial" w:eastAsia="Times New Roman" w:hAnsi="Arial" w:cs="Arial"/>
                <w:lang w:eastAsia="en-GB"/>
              </w:rPr>
              <w:t xml:space="preserve"> of adults satisfied with refuse collection </w:t>
            </w:r>
          </w:p>
        </w:tc>
      </w:tr>
      <w:tr w:rsidR="00012F93" w:rsidRPr="00DA4925" w:rsidTr="00896A0F">
        <w:tc>
          <w:tcPr>
            <w:tcW w:w="1384" w:type="dxa"/>
            <w:vAlign w:val="bottom"/>
          </w:tcPr>
          <w:p w:rsidR="00852D0C" w:rsidRPr="00DA4925" w:rsidRDefault="00852D0C" w:rsidP="00DF7028">
            <w:pPr>
              <w:spacing w:after="0" w:line="240" w:lineRule="auto"/>
              <w:rPr>
                <w:rFonts w:ascii="Arial" w:eastAsia="Times New Roman" w:hAnsi="Arial" w:cs="Arial"/>
                <w:lang w:eastAsia="en-GB"/>
              </w:rPr>
            </w:pPr>
            <w:r w:rsidRPr="00DA4925">
              <w:rPr>
                <w:rFonts w:ascii="Arial" w:eastAsia="Times New Roman" w:hAnsi="Arial" w:cs="Arial"/>
                <w:lang w:eastAsia="en-GB"/>
              </w:rPr>
              <w:t>ENV7b</w:t>
            </w:r>
          </w:p>
        </w:tc>
        <w:tc>
          <w:tcPr>
            <w:tcW w:w="8222" w:type="dxa"/>
            <w:shd w:val="clear" w:color="auto" w:fill="auto"/>
            <w:vAlign w:val="bottom"/>
          </w:tcPr>
          <w:p w:rsidR="00852D0C" w:rsidRPr="00DA4925" w:rsidRDefault="00FE153B" w:rsidP="00DF7028">
            <w:pPr>
              <w:spacing w:after="0" w:line="240" w:lineRule="auto"/>
              <w:rPr>
                <w:rFonts w:ascii="Arial" w:eastAsia="Times New Roman" w:hAnsi="Arial" w:cs="Arial"/>
                <w:lang w:eastAsia="en-GB"/>
              </w:rPr>
            </w:pPr>
            <w:r w:rsidRPr="00DA4925">
              <w:rPr>
                <w:rFonts w:ascii="Arial" w:eastAsia="Times New Roman" w:hAnsi="Arial" w:cs="Arial"/>
                <w:lang w:eastAsia="en-GB"/>
              </w:rPr>
              <w:t>Percentage</w:t>
            </w:r>
            <w:r w:rsidR="00852D0C" w:rsidRPr="00DA4925">
              <w:rPr>
                <w:rFonts w:ascii="Arial" w:eastAsia="Times New Roman" w:hAnsi="Arial" w:cs="Arial"/>
                <w:lang w:eastAsia="en-GB"/>
              </w:rPr>
              <w:t xml:space="preserve"> of adults satisfied with street cleaning</w:t>
            </w:r>
          </w:p>
        </w:tc>
      </w:tr>
    </w:tbl>
    <w:p w:rsidR="00852D0C" w:rsidRPr="00DA4925" w:rsidRDefault="00852D0C" w:rsidP="00852D0C">
      <w:pPr>
        <w:tabs>
          <w:tab w:val="left" w:pos="2874"/>
        </w:tabs>
        <w:spacing w:after="0"/>
        <w:ind w:left="2874" w:hanging="2874"/>
        <w:rPr>
          <w:rFonts w:ascii="Arial" w:eastAsia="Verdana" w:hAnsi="Arial" w:cs="Arial"/>
          <w:b/>
        </w:rPr>
      </w:pPr>
    </w:p>
    <w:p w:rsidR="00757853" w:rsidRPr="00DA4925" w:rsidRDefault="00757853" w:rsidP="00757853">
      <w:pPr>
        <w:tabs>
          <w:tab w:val="left" w:pos="1741"/>
          <w:tab w:val="left" w:pos="7777"/>
          <w:tab w:val="left" w:pos="8544"/>
          <w:tab w:val="left" w:pos="9310"/>
          <w:tab w:val="left" w:pos="10076"/>
          <w:tab w:val="left" w:pos="10842"/>
          <w:tab w:val="left" w:pos="11608"/>
          <w:tab w:val="left" w:pos="12374"/>
          <w:tab w:val="left" w:pos="13140"/>
          <w:tab w:val="left" w:pos="13906"/>
          <w:tab w:val="left" w:pos="14672"/>
        </w:tabs>
        <w:rPr>
          <w:rFonts w:ascii="Arial" w:eastAsia="Verdana" w:hAnsi="Arial" w:cs="Arial"/>
          <w:b/>
        </w:rPr>
      </w:pPr>
      <w:r w:rsidRPr="00DA4925">
        <w:rPr>
          <w:rFonts w:ascii="Arial" w:eastAsia="Verdana" w:hAnsi="Arial" w:cs="Arial"/>
          <w:b/>
        </w:rPr>
        <w:t>Local PIs: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540"/>
      </w:tblGrid>
      <w:tr w:rsidR="00DA4925" w:rsidRPr="00DA4925" w:rsidTr="00896A0F">
        <w:tc>
          <w:tcPr>
            <w:tcW w:w="1738"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SCC1 CC1</w:t>
            </w:r>
          </w:p>
        </w:tc>
        <w:tc>
          <w:tcPr>
            <w:tcW w:w="7902"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Number of attendances per 1,000 population to all pools</w:t>
            </w:r>
          </w:p>
        </w:tc>
      </w:tr>
      <w:tr w:rsidR="00DA4925" w:rsidRPr="00DA4925" w:rsidTr="00896A0F">
        <w:tc>
          <w:tcPr>
            <w:tcW w:w="1738"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SRL3aii RL3</w:t>
            </w:r>
          </w:p>
        </w:tc>
        <w:tc>
          <w:tcPr>
            <w:tcW w:w="7902"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Percentage of all street light repairs completed within 7 days</w:t>
            </w:r>
          </w:p>
        </w:tc>
      </w:tr>
      <w:tr w:rsidR="00DA4925" w:rsidRPr="00DA4925" w:rsidTr="00896A0F">
        <w:tc>
          <w:tcPr>
            <w:tcW w:w="1738"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H/WM/002</w:t>
            </w:r>
          </w:p>
        </w:tc>
        <w:tc>
          <w:tcPr>
            <w:tcW w:w="7902"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Tonnage of biodegradable municipal waste landfilled</w:t>
            </w:r>
          </w:p>
        </w:tc>
      </w:tr>
      <w:tr w:rsidR="00DA4925" w:rsidRPr="00DA4925" w:rsidTr="00896A0F">
        <w:tc>
          <w:tcPr>
            <w:tcW w:w="1738"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H/FM/001</w:t>
            </w:r>
          </w:p>
        </w:tc>
        <w:tc>
          <w:tcPr>
            <w:tcW w:w="7902" w:type="dxa"/>
            <w:shd w:val="clear" w:color="auto" w:fill="auto"/>
            <w:vAlign w:val="center"/>
          </w:tcPr>
          <w:p w:rsidR="00EA2D4B" w:rsidRPr="00DA4925" w:rsidRDefault="00EA2D4B" w:rsidP="002E592B">
            <w:pPr>
              <w:spacing w:after="0" w:line="240" w:lineRule="auto"/>
              <w:rPr>
                <w:rFonts w:ascii="Arial" w:eastAsia="Verdana" w:hAnsi="Arial" w:cs="Arial"/>
              </w:rPr>
            </w:pPr>
            <w:r w:rsidRPr="00DA4925">
              <w:rPr>
                <w:rFonts w:ascii="Arial" w:eastAsia="Verdana" w:hAnsi="Arial" w:cs="Arial"/>
              </w:rPr>
              <w:t>Percentage of Primary School pupils present and registered who took free meals</w:t>
            </w:r>
          </w:p>
        </w:tc>
      </w:tr>
      <w:tr w:rsidR="00DA4925" w:rsidRPr="00DA4925" w:rsidTr="00896A0F">
        <w:tc>
          <w:tcPr>
            <w:tcW w:w="1738"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H/FM/002</w:t>
            </w:r>
          </w:p>
        </w:tc>
        <w:tc>
          <w:tcPr>
            <w:tcW w:w="7902" w:type="dxa"/>
            <w:shd w:val="clear" w:color="auto" w:fill="auto"/>
            <w:vAlign w:val="center"/>
          </w:tcPr>
          <w:p w:rsidR="00EA2D4B" w:rsidRPr="00DA4925" w:rsidRDefault="00EA2D4B" w:rsidP="002E592B">
            <w:pPr>
              <w:spacing w:after="0" w:line="240" w:lineRule="auto"/>
              <w:rPr>
                <w:rFonts w:ascii="Arial" w:eastAsia="Verdana" w:hAnsi="Arial" w:cs="Arial"/>
              </w:rPr>
            </w:pPr>
            <w:r w:rsidRPr="00DA4925">
              <w:rPr>
                <w:rFonts w:ascii="Arial" w:eastAsia="Verdana" w:hAnsi="Arial" w:cs="Arial"/>
              </w:rPr>
              <w:t>Percentage of Secondary School pupils present and registered who took free meals</w:t>
            </w:r>
          </w:p>
        </w:tc>
      </w:tr>
      <w:tr w:rsidR="00DA4925" w:rsidRPr="00DA4925" w:rsidTr="00896A0F">
        <w:tc>
          <w:tcPr>
            <w:tcW w:w="1738" w:type="dxa"/>
            <w:shd w:val="clear" w:color="auto" w:fill="auto"/>
            <w:vAlign w:val="center"/>
          </w:tcPr>
          <w:p w:rsidR="00EA2D4B" w:rsidRPr="00DA4925" w:rsidRDefault="009B3E64" w:rsidP="00757853">
            <w:pPr>
              <w:spacing w:after="0" w:line="240" w:lineRule="auto"/>
              <w:rPr>
                <w:rFonts w:ascii="Arial" w:eastAsia="Verdana" w:hAnsi="Arial" w:cs="Arial"/>
              </w:rPr>
            </w:pPr>
            <w:r w:rsidRPr="00DA4925">
              <w:rPr>
                <w:rFonts w:ascii="Arial" w:eastAsia="Verdana" w:hAnsi="Arial" w:cs="Arial"/>
              </w:rPr>
              <w:t>SL/Absence/E&amp;N/6</w:t>
            </w:r>
          </w:p>
        </w:tc>
        <w:tc>
          <w:tcPr>
            <w:tcW w:w="7902" w:type="dxa"/>
            <w:shd w:val="clear" w:color="auto" w:fill="auto"/>
            <w:vAlign w:val="center"/>
          </w:tcPr>
          <w:p w:rsidR="00EA2D4B" w:rsidRPr="00DA4925" w:rsidRDefault="00EA2D4B" w:rsidP="00757853">
            <w:pPr>
              <w:spacing w:after="0" w:line="240" w:lineRule="auto"/>
              <w:rPr>
                <w:rFonts w:ascii="Arial" w:eastAsia="Verdana" w:hAnsi="Arial" w:cs="Arial"/>
              </w:rPr>
            </w:pPr>
            <w:r w:rsidRPr="00DA4925">
              <w:rPr>
                <w:rFonts w:ascii="Arial" w:eastAsia="Verdana" w:hAnsi="Arial" w:cs="Arial"/>
              </w:rPr>
              <w:t>E&amp;N Absence</w:t>
            </w:r>
          </w:p>
        </w:tc>
      </w:tr>
    </w:tbl>
    <w:p w:rsidR="001D220A" w:rsidRPr="00DA4925" w:rsidRDefault="001D220A">
      <w:pPr>
        <w:spacing w:after="0" w:line="240" w:lineRule="auto"/>
        <w:sectPr w:rsidR="001D220A" w:rsidRPr="00DA4925" w:rsidSect="00852D0C">
          <w:pgSz w:w="12240" w:h="15840"/>
          <w:pgMar w:top="1077" w:right="1418" w:bottom="771" w:left="1418" w:header="709" w:footer="709" w:gutter="119"/>
          <w:cols w:space="708"/>
          <w:titlePg/>
          <w:docGrid w:linePitch="360"/>
        </w:sectPr>
      </w:pPr>
    </w:p>
    <w:p w:rsidR="00474CEB" w:rsidRPr="00DA4925" w:rsidRDefault="00474CEB" w:rsidP="00474CEB">
      <w:pPr>
        <w:pStyle w:val="Heading1"/>
        <w:spacing w:before="0" w:after="0" w:line="240" w:lineRule="auto"/>
        <w:rPr>
          <w:bCs w:val="0"/>
          <w:sz w:val="28"/>
          <w:szCs w:val="28"/>
          <w:lang w:val="en-GB"/>
        </w:rPr>
      </w:pPr>
      <w:r w:rsidRPr="00DA4925">
        <w:rPr>
          <w:bCs w:val="0"/>
          <w:sz w:val="28"/>
          <w:szCs w:val="28"/>
          <w:lang w:val="en-GB"/>
        </w:rPr>
        <w:lastRenderedPageBreak/>
        <w:t xml:space="preserve">Appendix </w:t>
      </w:r>
      <w:r>
        <w:rPr>
          <w:bCs w:val="0"/>
          <w:sz w:val="28"/>
          <w:szCs w:val="28"/>
          <w:lang w:val="en-GB"/>
        </w:rPr>
        <w:t>4</w:t>
      </w:r>
      <w:r w:rsidRPr="00DA4925">
        <w:rPr>
          <w:bCs w:val="0"/>
          <w:sz w:val="28"/>
          <w:szCs w:val="28"/>
          <w:lang w:val="en-GB"/>
        </w:rPr>
        <w:t xml:space="preserve">: </w:t>
      </w:r>
      <w:r w:rsidR="00CC7802">
        <w:rPr>
          <w:bCs w:val="0"/>
          <w:sz w:val="28"/>
          <w:szCs w:val="28"/>
          <w:lang w:val="en-GB"/>
        </w:rPr>
        <w:t xml:space="preserve">Workforce Plan </w:t>
      </w:r>
      <w:r w:rsidRPr="00DA4925">
        <w:rPr>
          <w:bCs w:val="0"/>
          <w:sz w:val="28"/>
          <w:szCs w:val="28"/>
          <w:lang w:val="en-GB"/>
        </w:rPr>
        <w:t>2017/18</w:t>
      </w:r>
      <w:r>
        <w:rPr>
          <w:bCs w:val="0"/>
          <w:sz w:val="28"/>
          <w:szCs w:val="28"/>
          <w:lang w:val="en-GB"/>
        </w:rPr>
        <w:t xml:space="preserve"> </w:t>
      </w:r>
    </w:p>
    <w:p w:rsidR="00474CEB" w:rsidRPr="00D431AE" w:rsidRDefault="00474CEB" w:rsidP="00474CEB">
      <w:pPr>
        <w:pStyle w:val="NoSpacing"/>
        <w:rPr>
          <w:rFonts w:ascii="Arial" w:hAnsi="Arial" w:cs="Arial"/>
          <w:sz w:val="24"/>
          <w:szCs w:val="24"/>
        </w:rPr>
      </w:pPr>
    </w:p>
    <w:p w:rsidR="00474CEB" w:rsidRPr="003C0CB6" w:rsidRDefault="00474CEB" w:rsidP="00474CEB">
      <w:pPr>
        <w:rPr>
          <w:rFonts w:ascii="Arial" w:eastAsia="Calibri" w:hAnsi="Arial" w:cs="Arial"/>
          <w:b/>
        </w:rPr>
      </w:pPr>
      <w:r w:rsidRPr="003C0CB6">
        <w:rPr>
          <w:rFonts w:ascii="Arial" w:eastAsia="Calibri" w:hAnsi="Arial" w:cs="Arial"/>
          <w:b/>
        </w:rPr>
        <w:t xml:space="preserve">Introduction </w:t>
      </w:r>
    </w:p>
    <w:p w:rsidR="00474CEB" w:rsidRPr="003C0CB6" w:rsidRDefault="00474CEB" w:rsidP="00474CEB">
      <w:pPr>
        <w:autoSpaceDE w:val="0"/>
        <w:autoSpaceDN w:val="0"/>
        <w:adjustRightInd w:val="0"/>
        <w:rPr>
          <w:rFonts w:ascii="Arial" w:eastAsia="Calibri" w:hAnsi="Arial" w:cs="Arial"/>
        </w:rPr>
      </w:pPr>
      <w:r w:rsidRPr="003C0CB6">
        <w:rPr>
          <w:rFonts w:ascii="Arial" w:eastAsia="Calibri" w:hAnsi="Arial" w:cs="Arial"/>
        </w:rPr>
        <w:t>The purpose of this Workforce Plan is to highlight and plan for the management of key workforce issues which are necessary to fully support the delivery of the Strategic Lead area Delivery Plan. These workforce issues cover the full period of the Delivery Plan and have significant implications in terms of organisational change, resource planning, resource profiling, skill mix, learning and development</w:t>
      </w:r>
      <w:r w:rsidR="00B94521">
        <w:rPr>
          <w:rFonts w:ascii="Arial" w:eastAsia="Calibri" w:hAnsi="Arial" w:cs="Arial"/>
        </w:rPr>
        <w:t>,</w:t>
      </w:r>
      <w:r w:rsidRPr="003C0CB6">
        <w:rPr>
          <w:rFonts w:ascii="Arial" w:eastAsia="Calibri" w:hAnsi="Arial" w:cs="Arial"/>
        </w:rPr>
        <w:t xml:space="preserve"> and restructuring.</w:t>
      </w:r>
    </w:p>
    <w:p w:rsidR="00474CEB" w:rsidRPr="003C0CB6" w:rsidRDefault="00474CEB" w:rsidP="00474CEB">
      <w:pPr>
        <w:autoSpaceDE w:val="0"/>
        <w:autoSpaceDN w:val="0"/>
        <w:adjustRightInd w:val="0"/>
        <w:rPr>
          <w:rFonts w:ascii="Arial" w:eastAsia="Calibri" w:hAnsi="Arial" w:cs="Arial"/>
        </w:rPr>
      </w:pPr>
      <w:r w:rsidRPr="003C0CB6">
        <w:rPr>
          <w:rFonts w:ascii="Arial" w:eastAsia="Calibri" w:hAnsi="Arial" w:cs="Arial"/>
        </w:rPr>
        <w:t>The plan also provides details of the current workforce profile of the Strategic Lead area, allowing for observations and assumptions to be drawn based upon workforce demographics and the impact this has in relation to resources and service delivery. Sickness absence information has also been included as reduction in this area is a key service priority for the council.</w:t>
      </w:r>
    </w:p>
    <w:p w:rsidR="00474CEB" w:rsidRPr="003C0CB6" w:rsidRDefault="00474CEB" w:rsidP="00474CEB">
      <w:pPr>
        <w:autoSpaceDE w:val="0"/>
        <w:autoSpaceDN w:val="0"/>
        <w:adjustRightInd w:val="0"/>
        <w:rPr>
          <w:rFonts w:ascii="Arial" w:eastAsia="Calibri" w:hAnsi="Arial" w:cs="Arial"/>
        </w:rPr>
      </w:pPr>
      <w:r w:rsidRPr="003C0CB6">
        <w:rPr>
          <w:rFonts w:ascii="Arial" w:eastAsia="Calibri" w:hAnsi="Arial" w:cs="Arial"/>
        </w:rPr>
        <w:t>The plan is broken down as follows:</w:t>
      </w:r>
    </w:p>
    <w:p w:rsidR="00474CEB" w:rsidRPr="003C0CB6" w:rsidRDefault="00474CEB" w:rsidP="0019210F">
      <w:pPr>
        <w:numPr>
          <w:ilvl w:val="0"/>
          <w:numId w:val="10"/>
        </w:numPr>
        <w:autoSpaceDE w:val="0"/>
        <w:autoSpaceDN w:val="0"/>
        <w:adjustRightInd w:val="0"/>
        <w:contextualSpacing/>
        <w:rPr>
          <w:rFonts w:ascii="Arial" w:eastAsia="Calibri" w:hAnsi="Arial" w:cs="Arial"/>
        </w:rPr>
      </w:pPr>
      <w:r w:rsidRPr="003C0CB6">
        <w:rPr>
          <w:rFonts w:ascii="Arial" w:eastAsia="Calibri" w:hAnsi="Arial" w:cs="Arial"/>
        </w:rPr>
        <w:t>Summary of the Key Service Priorities/Issues and Resource Implications;</w:t>
      </w:r>
    </w:p>
    <w:p w:rsidR="00474CEB" w:rsidRPr="003C0CB6" w:rsidRDefault="00474CEB" w:rsidP="0019210F">
      <w:pPr>
        <w:numPr>
          <w:ilvl w:val="0"/>
          <w:numId w:val="10"/>
        </w:numPr>
        <w:autoSpaceDE w:val="0"/>
        <w:autoSpaceDN w:val="0"/>
        <w:adjustRightInd w:val="0"/>
        <w:contextualSpacing/>
        <w:rPr>
          <w:rFonts w:ascii="Arial" w:eastAsia="Calibri" w:hAnsi="Arial" w:cs="Arial"/>
        </w:rPr>
      </w:pPr>
      <w:r w:rsidRPr="003C0CB6">
        <w:rPr>
          <w:rFonts w:ascii="Arial" w:eastAsia="Calibri" w:hAnsi="Arial" w:cs="Arial"/>
        </w:rPr>
        <w:t>Longer term Key Service Priorities/ Issues and Resource implications; and</w:t>
      </w:r>
    </w:p>
    <w:p w:rsidR="00474CEB" w:rsidRPr="003C0CB6" w:rsidRDefault="00474CEB" w:rsidP="0019210F">
      <w:pPr>
        <w:numPr>
          <w:ilvl w:val="0"/>
          <w:numId w:val="10"/>
        </w:numPr>
        <w:autoSpaceDE w:val="0"/>
        <w:autoSpaceDN w:val="0"/>
        <w:adjustRightInd w:val="0"/>
        <w:contextualSpacing/>
        <w:rPr>
          <w:rFonts w:ascii="Arial" w:eastAsia="Calibri" w:hAnsi="Arial" w:cs="Arial"/>
        </w:rPr>
      </w:pPr>
      <w:r w:rsidRPr="003C0CB6">
        <w:rPr>
          <w:rFonts w:ascii="Arial" w:eastAsia="Calibri" w:hAnsi="Arial" w:cs="Arial"/>
        </w:rPr>
        <w:t>Establishment and resource Information.</w:t>
      </w:r>
    </w:p>
    <w:p w:rsidR="0019210F" w:rsidRDefault="0019210F" w:rsidP="00474CEB">
      <w:pPr>
        <w:spacing w:before="100" w:beforeAutospacing="1" w:after="0" w:line="240" w:lineRule="auto"/>
        <w:rPr>
          <w:rFonts w:ascii="Arial" w:hAnsi="Arial" w:cs="Arial"/>
          <w:b/>
        </w:rPr>
      </w:pPr>
    </w:p>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1. Summary of the Key Priorities/Issues and Resource Implications.</w:t>
      </w:r>
    </w:p>
    <w:p w:rsidR="00474CEB" w:rsidRDefault="00474CEB" w:rsidP="00474CEB">
      <w:pPr>
        <w:spacing w:before="100" w:beforeAutospacing="1" w:after="0" w:line="240" w:lineRule="auto"/>
        <w:rPr>
          <w:rFonts w:ascii="Arial" w:hAnsi="Arial" w:cs="Arial"/>
        </w:rPr>
      </w:pPr>
      <w:r w:rsidRPr="005E054F">
        <w:rPr>
          <w:rFonts w:ascii="Arial" w:hAnsi="Arial" w:cs="Arial"/>
        </w:rPr>
        <w:t>The table below details the priorities or issues, which will happen and conclude during the current financial year and their implications.</w:t>
      </w:r>
    </w:p>
    <w:p w:rsidR="0019210F" w:rsidRPr="005E054F" w:rsidRDefault="0019210F" w:rsidP="0019210F">
      <w:pPr>
        <w:spacing w:after="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8"/>
        <w:gridCol w:w="3629"/>
        <w:gridCol w:w="23"/>
        <w:gridCol w:w="3104"/>
        <w:gridCol w:w="9"/>
        <w:gridCol w:w="2154"/>
        <w:gridCol w:w="1967"/>
        <w:gridCol w:w="20"/>
      </w:tblGrid>
      <w:tr w:rsidR="00474CEB" w:rsidRPr="002802F0" w:rsidTr="00CC7802">
        <w:tc>
          <w:tcPr>
            <w:tcW w:w="1153" w:type="pct"/>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Priority/ Issues</w:t>
            </w:r>
          </w:p>
        </w:tc>
        <w:tc>
          <w:tcPr>
            <w:tcW w:w="1288" w:type="pct"/>
            <w:gridSpan w:val="2"/>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Resource or Skill implication</w:t>
            </w:r>
          </w:p>
        </w:tc>
        <w:tc>
          <w:tcPr>
            <w:tcW w:w="1098" w:type="pct"/>
            <w:gridSpan w:val="2"/>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Action required</w:t>
            </w:r>
          </w:p>
        </w:tc>
        <w:tc>
          <w:tcPr>
            <w:tcW w:w="760" w:type="pct"/>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Cost/Saving</w:t>
            </w:r>
          </w:p>
        </w:tc>
        <w:tc>
          <w:tcPr>
            <w:tcW w:w="701" w:type="pct"/>
            <w:gridSpan w:val="2"/>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Lead Officer</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Changes to School Estate</w:t>
            </w:r>
          </w:p>
          <w:p w:rsidR="00474CEB" w:rsidRPr="00F33EBD" w:rsidRDefault="00474CEB" w:rsidP="00474CEB">
            <w:pPr>
              <w:spacing w:before="100" w:beforeAutospacing="1" w:after="0" w:line="240" w:lineRule="auto"/>
              <w:rPr>
                <w:rFonts w:ascii="Arial" w:hAnsi="Arial" w:cs="Arial"/>
              </w:rPr>
            </w:pPr>
          </w:p>
          <w:p w:rsidR="00474CEB" w:rsidRPr="00F33EBD" w:rsidRDefault="00474CEB" w:rsidP="00474CEB">
            <w:pPr>
              <w:spacing w:before="100" w:beforeAutospacing="1" w:after="0" w:line="240" w:lineRule="auto"/>
              <w:rPr>
                <w:rFonts w:ascii="Arial" w:hAnsi="Arial" w:cs="Arial"/>
              </w:rPr>
            </w:pPr>
          </w:p>
          <w:p w:rsidR="00474CEB" w:rsidRPr="00F33EBD" w:rsidRDefault="00474CEB" w:rsidP="00474CEB">
            <w:pPr>
              <w:spacing w:before="100" w:beforeAutospacing="1" w:after="0" w:line="240" w:lineRule="auto"/>
              <w:rPr>
                <w:rFonts w:ascii="Arial" w:hAnsi="Arial" w:cs="Arial"/>
              </w:rPr>
            </w:pP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 xml:space="preserve">Potential reduction in staff requirements </w:t>
            </w:r>
          </w:p>
          <w:p w:rsidR="00474CEB" w:rsidRPr="00F33EBD" w:rsidRDefault="00474CEB" w:rsidP="00474CEB">
            <w:pPr>
              <w:spacing w:before="100" w:beforeAutospacing="1" w:after="0" w:line="240" w:lineRule="auto"/>
              <w:rPr>
                <w:rFonts w:ascii="Arial" w:hAnsi="Arial" w:cs="Arial"/>
              </w:rPr>
            </w:pP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Staff and trade union briefings.</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Discussion with displaced employees.</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Potential Redeployment, voluntary redundancy, early retirement.</w:t>
            </w:r>
          </w:p>
        </w:tc>
        <w:tc>
          <w:tcPr>
            <w:tcW w:w="760"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 xml:space="preserve">Savings </w:t>
            </w:r>
            <w:r w:rsidR="00505FA1" w:rsidRPr="00F33EBD">
              <w:rPr>
                <w:rFonts w:ascii="Arial" w:hAnsi="Arial" w:cs="Arial"/>
              </w:rPr>
              <w:t>dependent</w:t>
            </w:r>
            <w:r w:rsidRPr="00F33EBD">
              <w:rPr>
                <w:rFonts w:ascii="Arial" w:hAnsi="Arial" w:cs="Arial"/>
              </w:rPr>
              <w:t xml:space="preserve"> on review of staffing numbers and contracts within facilities management.</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L Dinnie.</w:t>
            </w:r>
          </w:p>
        </w:tc>
      </w:tr>
      <w:tr w:rsidR="0019210F" w:rsidRPr="002802F0" w:rsidTr="00CC7802">
        <w:tc>
          <w:tcPr>
            <w:tcW w:w="1153" w:type="pct"/>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lastRenderedPageBreak/>
              <w:t>Priority/ Issues</w:t>
            </w:r>
          </w:p>
        </w:tc>
        <w:tc>
          <w:tcPr>
            <w:tcW w:w="1288" w:type="pct"/>
            <w:gridSpan w:val="2"/>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Resource or Skill implication</w:t>
            </w:r>
          </w:p>
        </w:tc>
        <w:tc>
          <w:tcPr>
            <w:tcW w:w="1098" w:type="pct"/>
            <w:gridSpan w:val="2"/>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Action required</w:t>
            </w:r>
          </w:p>
        </w:tc>
        <w:tc>
          <w:tcPr>
            <w:tcW w:w="760" w:type="pct"/>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Cost/Saving</w:t>
            </w:r>
          </w:p>
        </w:tc>
        <w:tc>
          <w:tcPr>
            <w:tcW w:w="701" w:type="pct"/>
            <w:gridSpan w:val="2"/>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Lead Officer</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Introduction of alternate clean within all Council premises.</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Reduction in staff numbers.</w:t>
            </w: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Consultation with trade unions over new ways of working being introduced.</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Ongoing review of staffing to manage staff turnover and replacement needs.</w:t>
            </w:r>
          </w:p>
        </w:tc>
        <w:tc>
          <w:tcPr>
            <w:tcW w:w="760"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£300k over 4 years.</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L Dinnie</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Changes to facilities management requirement and catering within Education due to expansion of early learning and childcare</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Additional resource requirements anticipated in both facilities assistants and catering.</w:t>
            </w: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Attend working group to discuss implications for facilities management.</w:t>
            </w:r>
          </w:p>
        </w:tc>
        <w:tc>
          <w:tcPr>
            <w:tcW w:w="760"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TBC</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L Dinnie</w:t>
            </w:r>
          </w:p>
        </w:tc>
      </w:tr>
      <w:tr w:rsidR="00474CEB" w:rsidRPr="00F33EBD" w:rsidTr="00B94521">
        <w:trPr>
          <w:gridAfter w:val="1"/>
          <w:wAfter w:w="7" w:type="pct"/>
        </w:trPr>
        <w:tc>
          <w:tcPr>
            <w:tcW w:w="1153" w:type="pct"/>
            <w:tcBorders>
              <w:top w:val="single" w:sz="4" w:space="0" w:color="000000"/>
              <w:left w:val="single" w:sz="4" w:space="0" w:color="000000"/>
              <w:bottom w:val="single" w:sz="4" w:space="0" w:color="000000"/>
              <w:right w:val="single" w:sz="4" w:space="0" w:color="000000"/>
            </w:tcBorders>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Changes to facilities management requirements with implementation of Office rationalisation.</w:t>
            </w:r>
          </w:p>
        </w:tc>
        <w:tc>
          <w:tcPr>
            <w:tcW w:w="1280" w:type="pct"/>
            <w:tcBorders>
              <w:top w:val="single" w:sz="4" w:space="0" w:color="000000"/>
              <w:left w:val="single" w:sz="4" w:space="0" w:color="000000"/>
              <w:bottom w:val="single" w:sz="4" w:space="0" w:color="000000"/>
              <w:right w:val="single" w:sz="4" w:space="0" w:color="000000"/>
            </w:tcBorders>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Possible reduction in staff numbers.</w:t>
            </w:r>
          </w:p>
        </w:tc>
        <w:tc>
          <w:tcPr>
            <w:tcW w:w="1103" w:type="pct"/>
            <w:gridSpan w:val="2"/>
            <w:tcBorders>
              <w:top w:val="single" w:sz="4" w:space="0" w:color="000000"/>
              <w:left w:val="single" w:sz="4" w:space="0" w:color="000000"/>
              <w:bottom w:val="single" w:sz="4" w:space="0" w:color="000000"/>
              <w:right w:val="single" w:sz="4" w:space="0" w:color="000000"/>
            </w:tcBorders>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Review of facilities management staffing and service provision in new building(s).</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Consultation with staff and trade unions.</w:t>
            </w:r>
          </w:p>
        </w:tc>
        <w:tc>
          <w:tcPr>
            <w:tcW w:w="763" w:type="pct"/>
            <w:gridSpan w:val="2"/>
            <w:tcBorders>
              <w:top w:val="single" w:sz="4" w:space="0" w:color="000000"/>
              <w:left w:val="single" w:sz="4" w:space="0" w:color="000000"/>
              <w:bottom w:val="single" w:sz="4" w:space="0" w:color="000000"/>
              <w:right w:val="single" w:sz="4" w:space="0" w:color="000000"/>
            </w:tcBorders>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TBC</w:t>
            </w:r>
          </w:p>
        </w:tc>
        <w:tc>
          <w:tcPr>
            <w:tcW w:w="694" w:type="pct"/>
            <w:tcBorders>
              <w:top w:val="single" w:sz="4" w:space="0" w:color="000000"/>
              <w:left w:val="single" w:sz="4" w:space="0" w:color="000000"/>
              <w:bottom w:val="single" w:sz="4" w:space="0" w:color="000000"/>
              <w:right w:val="single" w:sz="4" w:space="0" w:color="000000"/>
            </w:tcBorders>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L Dinnie</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Greenspace contract in of No Graffiti Contract.</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Increase in staffing numbers potentially 2 employees will TUPE transfer in.</w:t>
            </w:r>
          </w:p>
        </w:tc>
        <w:tc>
          <w:tcPr>
            <w:tcW w:w="1098" w:type="pct"/>
            <w:gridSpan w:val="2"/>
          </w:tcPr>
          <w:p w:rsidR="0019210F" w:rsidRDefault="00474CEB" w:rsidP="00474CEB">
            <w:pPr>
              <w:spacing w:before="100" w:beforeAutospacing="1" w:after="0" w:line="240" w:lineRule="auto"/>
              <w:rPr>
                <w:rFonts w:ascii="Arial" w:hAnsi="Arial" w:cs="Arial"/>
              </w:rPr>
            </w:pPr>
            <w:r w:rsidRPr="00F33EBD">
              <w:rPr>
                <w:rFonts w:ascii="Arial" w:hAnsi="Arial" w:cs="Arial"/>
              </w:rPr>
              <w:t>TUPE transfer of 2 staff currently employed with No Graffiti.</w:t>
            </w:r>
          </w:p>
          <w:p w:rsidR="00474CEB" w:rsidRPr="00F33EBD" w:rsidRDefault="00474CEB" w:rsidP="0019210F">
            <w:pPr>
              <w:spacing w:after="0" w:line="240" w:lineRule="auto"/>
              <w:rPr>
                <w:rFonts w:ascii="Arial" w:hAnsi="Arial" w:cs="Arial"/>
              </w:rPr>
            </w:pPr>
            <w:r w:rsidRPr="00F33EBD">
              <w:rPr>
                <w:rFonts w:ascii="Arial" w:hAnsi="Arial" w:cs="Arial"/>
              </w:rPr>
              <w:t>Intention is to incorporate these duties within Litter Control to enhance service delivery in an area with a high level of customer dissatisfaction.</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Training on the use of equipment and SSOW will be required.</w:t>
            </w:r>
          </w:p>
        </w:tc>
        <w:tc>
          <w:tcPr>
            <w:tcW w:w="760" w:type="pct"/>
          </w:tcPr>
          <w:p w:rsidR="00474CEB" w:rsidRPr="00F33EBD" w:rsidRDefault="00B94521" w:rsidP="00474CEB">
            <w:pPr>
              <w:spacing w:before="100" w:beforeAutospacing="1" w:after="0" w:line="240" w:lineRule="auto"/>
              <w:rPr>
                <w:rFonts w:ascii="Arial" w:hAnsi="Arial" w:cs="Arial"/>
              </w:rPr>
            </w:pPr>
            <w:r>
              <w:rPr>
                <w:rFonts w:ascii="Arial" w:hAnsi="Arial" w:cs="Arial"/>
              </w:rPr>
              <w:t>N/A</w:t>
            </w:r>
            <w:r w:rsidR="00474CEB" w:rsidRPr="00F33EBD">
              <w:rPr>
                <w:rFonts w:ascii="Arial" w:hAnsi="Arial" w:cs="Arial"/>
              </w:rPr>
              <w:t xml:space="preserve"> </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Ian Bain</w:t>
            </w:r>
          </w:p>
        </w:tc>
      </w:tr>
      <w:tr w:rsidR="0019210F" w:rsidRPr="002802F0" w:rsidTr="00CC7802">
        <w:tc>
          <w:tcPr>
            <w:tcW w:w="1153" w:type="pct"/>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lastRenderedPageBreak/>
              <w:t>Priority/ Issues</w:t>
            </w:r>
          </w:p>
        </w:tc>
        <w:tc>
          <w:tcPr>
            <w:tcW w:w="1288" w:type="pct"/>
            <w:gridSpan w:val="2"/>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Resource or Skill implication</w:t>
            </w:r>
          </w:p>
        </w:tc>
        <w:tc>
          <w:tcPr>
            <w:tcW w:w="1098" w:type="pct"/>
            <w:gridSpan w:val="2"/>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Action required</w:t>
            </w:r>
          </w:p>
        </w:tc>
        <w:tc>
          <w:tcPr>
            <w:tcW w:w="760" w:type="pct"/>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Cost/Saving</w:t>
            </w:r>
          </w:p>
        </w:tc>
        <w:tc>
          <w:tcPr>
            <w:tcW w:w="701" w:type="pct"/>
            <w:gridSpan w:val="2"/>
            <w:shd w:val="clear" w:color="auto" w:fill="D9D9D9" w:themeFill="background1" w:themeFillShade="D9"/>
          </w:tcPr>
          <w:p w:rsidR="0019210F" w:rsidRPr="002802F0" w:rsidRDefault="0019210F" w:rsidP="003D1787">
            <w:pPr>
              <w:spacing w:before="100" w:beforeAutospacing="1" w:after="0" w:line="240" w:lineRule="auto"/>
              <w:rPr>
                <w:rFonts w:ascii="Arial" w:hAnsi="Arial" w:cs="Arial"/>
                <w:b/>
              </w:rPr>
            </w:pPr>
            <w:r w:rsidRPr="002802F0">
              <w:rPr>
                <w:rFonts w:ascii="Arial" w:hAnsi="Arial" w:cs="Arial"/>
                <w:b/>
              </w:rPr>
              <w:t>Lead Officer</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Progress shared service initiative within Roads.</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 xml:space="preserve">Staff requirements for all 3 local authorities involved in Roads shared service project will be required to review / reshape present staffing   to meet current and future needs of the service. </w:t>
            </w: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Review capacity and skills to increase resilience and capacity across 3 authorities.</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Potential redeployment voluntary redundancy/ early retirement.</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Additional post of Shared Service Project Lead fixed term for 9 months.</w:t>
            </w:r>
          </w:p>
        </w:tc>
        <w:tc>
          <w:tcPr>
            <w:tcW w:w="760"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n/a</w:t>
            </w:r>
          </w:p>
          <w:p w:rsidR="00474CEB" w:rsidRDefault="00474CEB" w:rsidP="00474CEB">
            <w:pPr>
              <w:spacing w:before="100" w:beforeAutospacing="1" w:after="0" w:line="240" w:lineRule="auto"/>
              <w:rPr>
                <w:rFonts w:ascii="Arial" w:hAnsi="Arial" w:cs="Arial"/>
              </w:rPr>
            </w:pPr>
          </w:p>
          <w:p w:rsidR="00474CEB" w:rsidRPr="00F33EBD" w:rsidRDefault="00474CEB" w:rsidP="00474CEB">
            <w:pPr>
              <w:spacing w:before="100" w:beforeAutospacing="1" w:after="0" w:line="240" w:lineRule="auto"/>
              <w:rPr>
                <w:rFonts w:ascii="Arial" w:hAnsi="Arial" w:cs="Arial"/>
              </w:rPr>
            </w:pPr>
          </w:p>
          <w:p w:rsidR="00474CEB" w:rsidRPr="00F33EBD" w:rsidRDefault="00474CEB" w:rsidP="00474CEB">
            <w:pPr>
              <w:spacing w:before="100" w:beforeAutospacing="1" w:after="0" w:line="240" w:lineRule="auto"/>
              <w:rPr>
                <w:rFonts w:ascii="Arial" w:hAnsi="Arial" w:cs="Arial"/>
              </w:rPr>
            </w:pP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£43k split between 3 authorities.</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Ronnie Dinnie</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Implementation of Management Savings and ongoing restructuring across services.</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Potential reduction in staffing numbers.</w:t>
            </w:r>
          </w:p>
          <w:p w:rsidR="00474CEB" w:rsidRPr="00F33EBD" w:rsidRDefault="00474CEB" w:rsidP="00474CEB">
            <w:pPr>
              <w:spacing w:before="100" w:beforeAutospacing="1" w:after="0" w:line="240" w:lineRule="auto"/>
              <w:rPr>
                <w:rFonts w:ascii="Arial" w:hAnsi="Arial" w:cs="Arial"/>
              </w:rPr>
            </w:pP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Retraining/redeployment of staff.</w:t>
            </w: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Staff and trade union briefings.</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Consultation with employees.</w:t>
            </w:r>
          </w:p>
          <w:p w:rsidR="00474CEB" w:rsidRPr="00F33EBD" w:rsidRDefault="00474CEB" w:rsidP="00474CEB">
            <w:pPr>
              <w:spacing w:before="100" w:beforeAutospacing="1" w:after="0" w:line="240" w:lineRule="auto"/>
              <w:rPr>
                <w:rFonts w:ascii="Arial" w:hAnsi="Arial" w:cs="Arial"/>
              </w:rPr>
            </w:pPr>
          </w:p>
        </w:tc>
        <w:tc>
          <w:tcPr>
            <w:tcW w:w="760" w:type="pct"/>
          </w:tcPr>
          <w:p w:rsidR="00474CEB" w:rsidRPr="00F33EBD" w:rsidRDefault="00505FA1" w:rsidP="00474CEB">
            <w:pPr>
              <w:spacing w:before="100" w:beforeAutospacing="1" w:after="0" w:line="240" w:lineRule="auto"/>
              <w:rPr>
                <w:rFonts w:ascii="Arial" w:hAnsi="Arial" w:cs="Arial"/>
              </w:rPr>
            </w:pPr>
            <w:r>
              <w:rPr>
                <w:rFonts w:ascii="Arial" w:hAnsi="Arial" w:cs="Arial"/>
              </w:rPr>
              <w:t>Dependent</w:t>
            </w:r>
            <w:r w:rsidR="00474CEB" w:rsidRPr="00F33EBD">
              <w:rPr>
                <w:rFonts w:ascii="Arial" w:hAnsi="Arial" w:cs="Arial"/>
              </w:rPr>
              <w:t xml:space="preserve"> on options being progressed.</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All Managers.</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Improvement in attendance.</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 xml:space="preserve">Reduce staff absence across directorate and associated costs. </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 xml:space="preserve">Council target 2016/17 </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7 days lost per employee</w:t>
            </w: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Target specific problem areas.</w:t>
            </w:r>
          </w:p>
          <w:p w:rsidR="00474CEB" w:rsidRPr="00F33EBD" w:rsidRDefault="00474CEB" w:rsidP="00474CEB">
            <w:pPr>
              <w:spacing w:before="100" w:beforeAutospacing="1" w:after="0" w:line="240" w:lineRule="auto"/>
              <w:rPr>
                <w:rFonts w:ascii="Arial" w:hAnsi="Arial" w:cs="Arial"/>
              </w:rPr>
            </w:pPr>
            <w:r w:rsidRPr="00F33EBD">
              <w:rPr>
                <w:rFonts w:ascii="Arial" w:hAnsi="Arial" w:cs="Arial"/>
              </w:rPr>
              <w:t>Develop specific actions to address areas of concern.</w:t>
            </w:r>
          </w:p>
        </w:tc>
        <w:tc>
          <w:tcPr>
            <w:tcW w:w="760" w:type="pct"/>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 xml:space="preserve">Savings </w:t>
            </w:r>
            <w:r w:rsidR="00505FA1" w:rsidRPr="00F33EBD">
              <w:rPr>
                <w:rFonts w:ascii="Arial" w:hAnsi="Arial" w:cs="Arial"/>
              </w:rPr>
              <w:t>dependent</w:t>
            </w:r>
            <w:r w:rsidRPr="00F33EBD">
              <w:rPr>
                <w:rFonts w:ascii="Arial" w:hAnsi="Arial" w:cs="Arial"/>
              </w:rPr>
              <w:t xml:space="preserve"> on reduction in number of days lost.</w:t>
            </w: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All Managers.</w:t>
            </w:r>
          </w:p>
        </w:tc>
      </w:tr>
      <w:tr w:rsidR="00474CEB" w:rsidRPr="002802F0" w:rsidTr="00474CEB">
        <w:tc>
          <w:tcPr>
            <w:tcW w:w="1153" w:type="pct"/>
          </w:tcPr>
          <w:p w:rsidR="00474CEB" w:rsidRPr="00F33EBD" w:rsidRDefault="00474CEB" w:rsidP="00474CEB">
            <w:pPr>
              <w:spacing w:before="100" w:beforeAutospacing="1" w:after="0" w:line="240" w:lineRule="auto"/>
              <w:rPr>
                <w:rFonts w:ascii="Arial" w:eastAsia="Calibri" w:hAnsi="Arial" w:cs="Arial"/>
              </w:rPr>
            </w:pPr>
            <w:r w:rsidRPr="00F33EBD">
              <w:rPr>
                <w:rFonts w:ascii="Arial" w:eastAsia="Calibri" w:hAnsi="Arial" w:cs="Arial"/>
              </w:rPr>
              <w:t>Be the Best Conversations</w:t>
            </w:r>
          </w:p>
        </w:tc>
        <w:tc>
          <w:tcPr>
            <w:tcW w:w="128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Implement throughout services.</w:t>
            </w:r>
          </w:p>
        </w:tc>
        <w:tc>
          <w:tcPr>
            <w:tcW w:w="1098"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Target of 100% by 2018.</w:t>
            </w:r>
          </w:p>
        </w:tc>
        <w:tc>
          <w:tcPr>
            <w:tcW w:w="760" w:type="pct"/>
          </w:tcPr>
          <w:p w:rsidR="00474CEB" w:rsidRPr="00F33EBD" w:rsidRDefault="00474CEB" w:rsidP="00474CEB">
            <w:pPr>
              <w:spacing w:before="100" w:beforeAutospacing="1" w:after="0" w:line="240" w:lineRule="auto"/>
              <w:rPr>
                <w:rFonts w:ascii="Arial" w:hAnsi="Arial" w:cs="Arial"/>
              </w:rPr>
            </w:pPr>
          </w:p>
        </w:tc>
        <w:tc>
          <w:tcPr>
            <w:tcW w:w="701" w:type="pct"/>
            <w:gridSpan w:val="2"/>
          </w:tcPr>
          <w:p w:rsidR="00474CEB" w:rsidRPr="00F33EBD" w:rsidRDefault="00474CEB" w:rsidP="00474CEB">
            <w:pPr>
              <w:spacing w:before="100" w:beforeAutospacing="1" w:after="0" w:line="240" w:lineRule="auto"/>
              <w:rPr>
                <w:rFonts w:ascii="Arial" w:hAnsi="Arial" w:cs="Arial"/>
              </w:rPr>
            </w:pPr>
            <w:r w:rsidRPr="00F33EBD">
              <w:rPr>
                <w:rFonts w:ascii="Arial" w:hAnsi="Arial" w:cs="Arial"/>
              </w:rPr>
              <w:t>All Managers.</w:t>
            </w:r>
          </w:p>
        </w:tc>
      </w:tr>
    </w:tbl>
    <w:p w:rsidR="00474CEB" w:rsidRDefault="00474CEB" w:rsidP="00474CEB">
      <w:pPr>
        <w:spacing w:before="100" w:beforeAutospacing="1" w:after="0" w:line="240" w:lineRule="auto"/>
        <w:jc w:val="center"/>
        <w:rPr>
          <w:rFonts w:ascii="Arial" w:hAnsi="Arial" w:cs="Arial"/>
          <w:b/>
        </w:rPr>
      </w:pPr>
    </w:p>
    <w:p w:rsidR="0019210F" w:rsidRDefault="0019210F">
      <w:pPr>
        <w:spacing w:after="0" w:line="240" w:lineRule="auto"/>
        <w:rPr>
          <w:rFonts w:ascii="Arial" w:hAnsi="Arial" w:cs="Arial"/>
          <w:b/>
        </w:rPr>
      </w:pPr>
      <w:r>
        <w:rPr>
          <w:rFonts w:ascii="Arial" w:hAnsi="Arial" w:cs="Arial"/>
          <w:b/>
        </w:rPr>
        <w:br w:type="page"/>
      </w:r>
    </w:p>
    <w:p w:rsidR="00474CEB" w:rsidRPr="002802F0" w:rsidRDefault="00474CEB" w:rsidP="00474CEB">
      <w:pPr>
        <w:spacing w:before="100" w:beforeAutospacing="1" w:after="0" w:line="240" w:lineRule="auto"/>
        <w:rPr>
          <w:rFonts w:ascii="Arial" w:hAnsi="Arial" w:cs="Arial"/>
          <w:b/>
        </w:rPr>
      </w:pPr>
      <w:r>
        <w:rPr>
          <w:rFonts w:ascii="Arial" w:hAnsi="Arial" w:cs="Arial"/>
          <w:b/>
        </w:rPr>
        <w:lastRenderedPageBreak/>
        <w:t xml:space="preserve">2. </w:t>
      </w:r>
      <w:r w:rsidRPr="002802F0">
        <w:rPr>
          <w:rFonts w:ascii="Arial" w:hAnsi="Arial" w:cs="Arial"/>
          <w:b/>
        </w:rPr>
        <w:t>Longer term Key Service Priorities/ Issues and Resource implications</w:t>
      </w:r>
    </w:p>
    <w:p w:rsidR="00474CEB" w:rsidRDefault="00474CEB" w:rsidP="00474CEB">
      <w:pPr>
        <w:spacing w:before="100" w:beforeAutospacing="1" w:after="0" w:line="240" w:lineRule="auto"/>
        <w:rPr>
          <w:rFonts w:ascii="Arial" w:hAnsi="Arial" w:cs="Arial"/>
        </w:rPr>
      </w:pPr>
      <w:r w:rsidRPr="005E054F">
        <w:rPr>
          <w:rFonts w:ascii="Arial" w:hAnsi="Arial" w:cs="Arial"/>
        </w:rPr>
        <w:t>This section details priorities or issues, which will start in the next financial year but will conclude beyond this period or have been agreed in this financial year but will commence at a later date.</w:t>
      </w:r>
    </w:p>
    <w:p w:rsidR="0019210F" w:rsidRPr="005E054F" w:rsidRDefault="0019210F" w:rsidP="0019210F">
      <w:pPr>
        <w:spacing w:after="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2841"/>
        <w:gridCol w:w="3729"/>
        <w:gridCol w:w="2129"/>
        <w:gridCol w:w="1775"/>
        <w:gridCol w:w="1596"/>
      </w:tblGrid>
      <w:tr w:rsidR="00474CEB" w:rsidRPr="002802F0" w:rsidTr="00CC7802">
        <w:tc>
          <w:tcPr>
            <w:tcW w:w="7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Period that priority will impact over</w:t>
            </w:r>
          </w:p>
        </w:tc>
        <w:tc>
          <w:tcPr>
            <w:tcW w:w="10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Priority/ Issues</w:t>
            </w:r>
          </w:p>
        </w:tc>
        <w:tc>
          <w:tcPr>
            <w:tcW w:w="13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Potential resource or skill implication</w:t>
            </w:r>
          </w:p>
        </w:tc>
        <w:tc>
          <w:tcPr>
            <w:tcW w:w="7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Potential actions required</w:t>
            </w:r>
          </w:p>
        </w:tc>
        <w:tc>
          <w:tcPr>
            <w:tcW w:w="6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Cost</w:t>
            </w:r>
          </w:p>
        </w:tc>
        <w:tc>
          <w:tcPr>
            <w:tcW w:w="5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4CEB" w:rsidRPr="002802F0" w:rsidRDefault="00474CEB" w:rsidP="00474CEB">
            <w:pPr>
              <w:spacing w:before="100" w:beforeAutospacing="1" w:after="0" w:line="240" w:lineRule="auto"/>
              <w:rPr>
                <w:rFonts w:ascii="Arial" w:hAnsi="Arial" w:cs="Arial"/>
                <w:b/>
              </w:rPr>
            </w:pPr>
            <w:r w:rsidRPr="002802F0">
              <w:rPr>
                <w:rFonts w:ascii="Arial" w:hAnsi="Arial" w:cs="Arial"/>
                <w:b/>
              </w:rPr>
              <w:t>Lead Officer</w:t>
            </w:r>
          </w:p>
        </w:tc>
      </w:tr>
      <w:tr w:rsidR="00474CEB" w:rsidRPr="002802F0" w:rsidTr="00474CEB">
        <w:tc>
          <w:tcPr>
            <w:tcW w:w="742"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Ongoing</w:t>
            </w:r>
          </w:p>
        </w:tc>
        <w:tc>
          <w:tcPr>
            <w:tcW w:w="1002"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Changes to the School estate</w:t>
            </w:r>
          </w:p>
          <w:p w:rsidR="00474CEB" w:rsidRPr="002802F0" w:rsidRDefault="00474CEB" w:rsidP="00474CEB">
            <w:pPr>
              <w:spacing w:before="100" w:beforeAutospacing="1" w:after="0" w:line="240" w:lineRule="auto"/>
              <w:rPr>
                <w:rFonts w:ascii="Arial" w:hAnsi="Arial" w:cs="Arial"/>
              </w:rPr>
            </w:pPr>
          </w:p>
        </w:tc>
        <w:tc>
          <w:tcPr>
            <w:tcW w:w="1315"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Changes to school estate will have an impact on staff – change management, staffing and other training requirements</w:t>
            </w:r>
          </w:p>
        </w:tc>
        <w:tc>
          <w:tcPr>
            <w:tcW w:w="751"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 xml:space="preserve">Amalgamating / closing schools  </w:t>
            </w:r>
          </w:p>
        </w:tc>
        <w:tc>
          <w:tcPr>
            <w:tcW w:w="626" w:type="pct"/>
            <w:tcBorders>
              <w:top w:val="single" w:sz="4" w:space="0" w:color="000000"/>
              <w:left w:val="single" w:sz="4" w:space="0" w:color="000000"/>
              <w:bottom w:val="single" w:sz="4" w:space="0" w:color="000000"/>
              <w:right w:val="single" w:sz="4" w:space="0" w:color="000000"/>
            </w:tcBorders>
          </w:tcPr>
          <w:p w:rsidR="00474CEB" w:rsidRPr="002802F0" w:rsidRDefault="00505FA1" w:rsidP="00474CEB">
            <w:pPr>
              <w:spacing w:before="100" w:beforeAutospacing="1" w:after="0" w:line="240" w:lineRule="auto"/>
              <w:rPr>
                <w:rFonts w:ascii="Arial" w:hAnsi="Arial" w:cs="Arial"/>
                <w:b/>
              </w:rPr>
            </w:pPr>
            <w:r w:rsidRPr="002802F0">
              <w:rPr>
                <w:rFonts w:ascii="Arial" w:hAnsi="Arial" w:cs="Arial"/>
              </w:rPr>
              <w:t>Dependent</w:t>
            </w:r>
            <w:r w:rsidR="00474CEB" w:rsidRPr="002802F0">
              <w:rPr>
                <w:rFonts w:ascii="Arial" w:hAnsi="Arial" w:cs="Arial"/>
              </w:rPr>
              <w:t xml:space="preserve"> on the options taken</w:t>
            </w:r>
          </w:p>
        </w:tc>
        <w:tc>
          <w:tcPr>
            <w:tcW w:w="563"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L Dinnie</w:t>
            </w:r>
          </w:p>
        </w:tc>
      </w:tr>
      <w:tr w:rsidR="00474CEB" w:rsidRPr="002802F0" w:rsidTr="00474CEB">
        <w:trPr>
          <w:trHeight w:val="1408"/>
        </w:trPr>
        <w:tc>
          <w:tcPr>
            <w:tcW w:w="742"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2018 - 2019</w:t>
            </w:r>
          </w:p>
          <w:p w:rsidR="00474CEB" w:rsidRPr="002802F0" w:rsidRDefault="00474CEB" w:rsidP="00474CEB">
            <w:pPr>
              <w:spacing w:before="100" w:beforeAutospacing="1" w:after="0" w:line="240" w:lineRule="auto"/>
              <w:rPr>
                <w:rFonts w:ascii="Arial" w:hAnsi="Arial" w:cs="Arial"/>
              </w:rPr>
            </w:pPr>
          </w:p>
        </w:tc>
        <w:tc>
          <w:tcPr>
            <w:tcW w:w="1002"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Develop a range of savings options to achieve budget savings targets.</w:t>
            </w:r>
          </w:p>
          <w:p w:rsidR="00474CEB" w:rsidRPr="002802F0" w:rsidRDefault="00474CEB" w:rsidP="00474CEB">
            <w:pPr>
              <w:spacing w:before="100" w:beforeAutospacing="1" w:after="0" w:line="240" w:lineRule="auto"/>
              <w:rPr>
                <w:rFonts w:ascii="Arial" w:hAnsi="Arial" w:cs="Arial"/>
              </w:rPr>
            </w:pPr>
          </w:p>
        </w:tc>
        <w:tc>
          <w:tcPr>
            <w:tcW w:w="1315"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Review current and future staffing requirements.</w:t>
            </w:r>
          </w:p>
          <w:p w:rsidR="00474CEB" w:rsidRPr="002802F0" w:rsidRDefault="00474CEB" w:rsidP="00474CEB">
            <w:pPr>
              <w:spacing w:before="100" w:beforeAutospacing="1" w:after="0" w:line="240" w:lineRule="auto"/>
              <w:rPr>
                <w:rFonts w:ascii="Arial" w:hAnsi="Arial" w:cs="Arial"/>
              </w:rPr>
            </w:pPr>
            <w:r w:rsidRPr="002802F0">
              <w:rPr>
                <w:rFonts w:ascii="Arial" w:hAnsi="Arial" w:cs="Arial"/>
              </w:rPr>
              <w:t>Potential redeployment voluntary redundancy /early retirement.</w:t>
            </w:r>
          </w:p>
        </w:tc>
        <w:tc>
          <w:tcPr>
            <w:tcW w:w="751"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Review current and future staffing requirements.</w:t>
            </w:r>
          </w:p>
        </w:tc>
        <w:tc>
          <w:tcPr>
            <w:tcW w:w="626" w:type="pct"/>
            <w:tcBorders>
              <w:top w:val="single" w:sz="4" w:space="0" w:color="000000"/>
              <w:left w:val="single" w:sz="4" w:space="0" w:color="000000"/>
              <w:bottom w:val="single" w:sz="4" w:space="0" w:color="000000"/>
              <w:right w:val="single" w:sz="4" w:space="0" w:color="000000"/>
            </w:tcBorders>
          </w:tcPr>
          <w:p w:rsidR="00474CEB" w:rsidRPr="002802F0" w:rsidRDefault="00B94521" w:rsidP="00474CEB">
            <w:pPr>
              <w:spacing w:before="100" w:beforeAutospacing="1" w:after="0" w:line="240" w:lineRule="auto"/>
              <w:rPr>
                <w:rFonts w:ascii="Arial" w:hAnsi="Arial" w:cs="Arial"/>
              </w:rPr>
            </w:pPr>
            <w:r>
              <w:rPr>
                <w:rFonts w:ascii="Arial" w:hAnsi="Arial" w:cs="Arial"/>
              </w:rPr>
              <w:t>Target Savings TBC</w:t>
            </w:r>
          </w:p>
        </w:tc>
        <w:tc>
          <w:tcPr>
            <w:tcW w:w="563" w:type="pct"/>
            <w:tcBorders>
              <w:top w:val="single" w:sz="4" w:space="0" w:color="000000"/>
              <w:left w:val="single" w:sz="4" w:space="0" w:color="000000"/>
              <w:bottom w:val="single" w:sz="4" w:space="0" w:color="000000"/>
              <w:right w:val="single" w:sz="4" w:space="0" w:color="000000"/>
            </w:tcBorders>
          </w:tcPr>
          <w:p w:rsidR="00474CEB" w:rsidRPr="002802F0" w:rsidRDefault="00474CEB" w:rsidP="00B94521">
            <w:pPr>
              <w:spacing w:before="100" w:beforeAutospacing="1" w:after="0" w:line="240" w:lineRule="auto"/>
              <w:rPr>
                <w:rFonts w:ascii="Arial" w:hAnsi="Arial" w:cs="Arial"/>
              </w:rPr>
            </w:pPr>
            <w:r w:rsidRPr="002802F0">
              <w:rPr>
                <w:rFonts w:ascii="Arial" w:hAnsi="Arial" w:cs="Arial"/>
              </w:rPr>
              <w:t>All Managers</w:t>
            </w:r>
          </w:p>
        </w:tc>
      </w:tr>
      <w:tr w:rsidR="00474CEB" w:rsidRPr="002802F0" w:rsidTr="00474CEB">
        <w:trPr>
          <w:trHeight w:val="1408"/>
        </w:trPr>
        <w:tc>
          <w:tcPr>
            <w:tcW w:w="742"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2018-19</w:t>
            </w:r>
          </w:p>
        </w:tc>
        <w:tc>
          <w:tcPr>
            <w:tcW w:w="1002"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Depot Rationalisation</w:t>
            </w:r>
          </w:p>
          <w:p w:rsidR="00474CEB" w:rsidRPr="002802F0" w:rsidRDefault="00474CEB" w:rsidP="00474CEB">
            <w:pPr>
              <w:spacing w:before="100" w:beforeAutospacing="1" w:after="0" w:line="240" w:lineRule="auto"/>
              <w:rPr>
                <w:rFonts w:ascii="Arial" w:hAnsi="Arial" w:cs="Arial"/>
              </w:rPr>
            </w:pPr>
            <w:r w:rsidRPr="002802F0">
              <w:rPr>
                <w:rFonts w:ascii="Arial" w:hAnsi="Arial" w:cs="Arial"/>
              </w:rPr>
              <w:t>(</w:t>
            </w:r>
            <w:r w:rsidR="00505FA1" w:rsidRPr="002802F0">
              <w:rPr>
                <w:rFonts w:ascii="Arial" w:hAnsi="Arial" w:cs="Arial"/>
              </w:rPr>
              <w:t>dependent</w:t>
            </w:r>
            <w:r w:rsidRPr="002802F0">
              <w:rPr>
                <w:rFonts w:ascii="Arial" w:hAnsi="Arial" w:cs="Arial"/>
              </w:rPr>
              <w:t xml:space="preserve"> on decision vs shared services)</w:t>
            </w:r>
          </w:p>
        </w:tc>
        <w:tc>
          <w:tcPr>
            <w:tcW w:w="1315"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Potential reduction in staffing costs within frontline services.</w:t>
            </w:r>
          </w:p>
        </w:tc>
        <w:tc>
          <w:tcPr>
            <w:tcW w:w="751"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Review current and future staffing requirements.</w:t>
            </w:r>
          </w:p>
          <w:p w:rsidR="00474CEB" w:rsidRPr="002802F0" w:rsidRDefault="00474CEB" w:rsidP="00474CEB">
            <w:pPr>
              <w:spacing w:before="100" w:beforeAutospacing="1" w:after="0" w:line="240" w:lineRule="auto"/>
              <w:rPr>
                <w:rFonts w:ascii="Arial" w:hAnsi="Arial" w:cs="Arial"/>
              </w:rPr>
            </w:pPr>
            <w:r w:rsidRPr="002802F0">
              <w:rPr>
                <w:rFonts w:ascii="Arial" w:hAnsi="Arial" w:cs="Arial"/>
              </w:rPr>
              <w:t>Potential redeployment /VS/ER</w:t>
            </w:r>
          </w:p>
        </w:tc>
        <w:tc>
          <w:tcPr>
            <w:tcW w:w="626"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TBA</w:t>
            </w:r>
          </w:p>
        </w:tc>
        <w:tc>
          <w:tcPr>
            <w:tcW w:w="563" w:type="pct"/>
            <w:tcBorders>
              <w:top w:val="single" w:sz="4" w:space="0" w:color="000000"/>
              <w:left w:val="single" w:sz="4" w:space="0" w:color="000000"/>
              <w:bottom w:val="single" w:sz="4" w:space="0" w:color="000000"/>
              <w:right w:val="single" w:sz="4" w:space="0" w:color="000000"/>
            </w:tcBorders>
          </w:tcPr>
          <w:p w:rsidR="00474CEB" w:rsidRPr="002802F0" w:rsidRDefault="00474CEB" w:rsidP="00474CEB">
            <w:pPr>
              <w:spacing w:before="100" w:beforeAutospacing="1" w:after="0" w:line="240" w:lineRule="auto"/>
              <w:rPr>
                <w:rFonts w:ascii="Arial" w:hAnsi="Arial" w:cs="Arial"/>
              </w:rPr>
            </w:pPr>
            <w:r w:rsidRPr="002802F0">
              <w:rPr>
                <w:rFonts w:ascii="Arial" w:hAnsi="Arial" w:cs="Arial"/>
              </w:rPr>
              <w:t>All Managers</w:t>
            </w:r>
          </w:p>
        </w:tc>
      </w:tr>
    </w:tbl>
    <w:p w:rsidR="00474CEB" w:rsidRDefault="00474CEB" w:rsidP="00474CEB">
      <w:pPr>
        <w:spacing w:before="100" w:beforeAutospacing="1" w:after="0" w:line="240" w:lineRule="auto"/>
        <w:ind w:hanging="3"/>
        <w:rPr>
          <w:rFonts w:ascii="Arial" w:hAnsi="Arial" w:cs="Arial"/>
          <w:b/>
        </w:rPr>
      </w:pPr>
      <w:r w:rsidRPr="002802F0">
        <w:rPr>
          <w:rFonts w:ascii="Arial" w:hAnsi="Arial" w:cs="Arial"/>
        </w:rPr>
        <w:br w:type="page"/>
      </w:r>
      <w:r w:rsidRPr="002802F0">
        <w:rPr>
          <w:rFonts w:ascii="Arial" w:hAnsi="Arial" w:cs="Arial"/>
          <w:b/>
        </w:rPr>
        <w:lastRenderedPageBreak/>
        <w:t xml:space="preserve">3. Establishment and </w:t>
      </w:r>
      <w:r>
        <w:rPr>
          <w:rFonts w:ascii="Arial" w:hAnsi="Arial" w:cs="Arial"/>
          <w:b/>
        </w:rPr>
        <w:t>Resource Information</w:t>
      </w:r>
    </w:p>
    <w:p w:rsidR="00474CEB" w:rsidRPr="00A66610" w:rsidRDefault="00474CEB" w:rsidP="00474CEB">
      <w:pPr>
        <w:spacing w:before="100" w:beforeAutospacing="1" w:after="0" w:line="240" w:lineRule="auto"/>
        <w:rPr>
          <w:rFonts w:ascii="Arial" w:hAnsi="Arial" w:cs="Arial"/>
        </w:rPr>
      </w:pPr>
      <w:r w:rsidRPr="00A66610">
        <w:rPr>
          <w:rFonts w:ascii="Arial" w:hAnsi="Arial" w:cs="Arial"/>
        </w:rPr>
        <w:t>The data listed below relates to the profile of the Strategic Lead area workforce as at 1</w:t>
      </w:r>
      <w:r w:rsidRPr="00A66610">
        <w:rPr>
          <w:rFonts w:ascii="Arial" w:hAnsi="Arial" w:cs="Arial"/>
          <w:vertAlign w:val="superscript"/>
        </w:rPr>
        <w:t>st</w:t>
      </w:r>
      <w:r w:rsidRPr="00A66610">
        <w:rPr>
          <w:rFonts w:ascii="Arial" w:hAnsi="Arial" w:cs="Arial"/>
        </w:rPr>
        <w:t xml:space="preserve"> April 2017 and examines changes in that profile over time. Comparison is not provided in instances where new workforce profile information is being reported for the first time. </w:t>
      </w:r>
    </w:p>
    <w:p w:rsidR="00474CEB" w:rsidRPr="002802F0" w:rsidRDefault="00474CEB" w:rsidP="0019210F">
      <w:pPr>
        <w:numPr>
          <w:ilvl w:val="0"/>
          <w:numId w:val="11"/>
        </w:numPr>
        <w:spacing w:before="100" w:beforeAutospacing="1" w:after="0" w:line="240" w:lineRule="auto"/>
        <w:rPr>
          <w:rFonts w:ascii="Arial" w:eastAsia="Calibri" w:hAnsi="Arial" w:cs="Arial"/>
          <w:b/>
        </w:rPr>
      </w:pPr>
      <w:r>
        <w:rPr>
          <w:rFonts w:ascii="Arial" w:eastAsia="Calibri" w:hAnsi="Arial" w:cs="Arial"/>
          <w:b/>
        </w:rPr>
        <w:t xml:space="preserve">Headcount </w:t>
      </w:r>
    </w:p>
    <w:tbl>
      <w:tblPr>
        <w:tblW w:w="4163" w:type="pct"/>
        <w:tblLook w:val="04A0" w:firstRow="1" w:lastRow="0" w:firstColumn="1" w:lastColumn="0" w:noHBand="0" w:noVBand="1"/>
      </w:tblPr>
      <w:tblGrid>
        <w:gridCol w:w="3829"/>
        <w:gridCol w:w="1596"/>
        <w:gridCol w:w="1595"/>
        <w:gridCol w:w="1595"/>
        <w:gridCol w:w="1595"/>
        <w:gridCol w:w="1591"/>
      </w:tblGrid>
      <w:tr w:rsidR="00474CEB" w:rsidRPr="00A66610" w:rsidTr="00CC7802">
        <w:trPr>
          <w:trHeight w:val="494"/>
        </w:trPr>
        <w:tc>
          <w:tcPr>
            <w:tcW w:w="162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A66610" w:rsidRDefault="00474CEB" w:rsidP="00474CEB">
            <w:pPr>
              <w:spacing w:before="100" w:beforeAutospacing="1" w:after="0" w:line="240" w:lineRule="auto"/>
              <w:rPr>
                <w:rFonts w:ascii="Arial" w:hAnsi="Arial" w:cs="Arial"/>
                <w:b/>
                <w:bCs/>
                <w:color w:val="FFFFFF"/>
                <w:sz w:val="20"/>
                <w:szCs w:val="20"/>
              </w:rPr>
            </w:pPr>
            <w:r w:rsidRPr="00A66610">
              <w:rPr>
                <w:rFonts w:ascii="Arial" w:hAnsi="Arial" w:cs="Arial"/>
                <w:b/>
                <w:bCs/>
                <w:color w:val="FFFFFF"/>
                <w:sz w:val="20"/>
                <w:szCs w:val="20"/>
              </w:rPr>
              <w:t> </w:t>
            </w:r>
          </w:p>
        </w:tc>
        <w:tc>
          <w:tcPr>
            <w:tcW w:w="6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Apprentice</w:t>
            </w:r>
          </w:p>
        </w:tc>
        <w:tc>
          <w:tcPr>
            <w:tcW w:w="6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Casual</w:t>
            </w:r>
          </w:p>
        </w:tc>
        <w:tc>
          <w:tcPr>
            <w:tcW w:w="6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Fixed-Term</w:t>
            </w:r>
          </w:p>
        </w:tc>
        <w:tc>
          <w:tcPr>
            <w:tcW w:w="6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Permanent</w:t>
            </w:r>
          </w:p>
        </w:tc>
        <w:tc>
          <w:tcPr>
            <w:tcW w:w="67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Total</w:t>
            </w:r>
          </w:p>
        </w:tc>
      </w:tr>
      <w:tr w:rsidR="00474CEB" w:rsidRPr="00A66610" w:rsidTr="00505FA1">
        <w:trPr>
          <w:trHeight w:val="270"/>
        </w:trPr>
        <w:tc>
          <w:tcPr>
            <w:tcW w:w="1622"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Facilities Management</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3</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521</w:t>
            </w:r>
          </w:p>
        </w:tc>
        <w:tc>
          <w:tcPr>
            <w:tcW w:w="675"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524</w:t>
            </w:r>
          </w:p>
        </w:tc>
      </w:tr>
      <w:tr w:rsidR="00474CEB" w:rsidRPr="00A66610" w:rsidTr="00505FA1">
        <w:trPr>
          <w:trHeight w:val="270"/>
        </w:trPr>
        <w:tc>
          <w:tcPr>
            <w:tcW w:w="1622"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Fleet &amp; Waste Services</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111</w:t>
            </w:r>
          </w:p>
        </w:tc>
        <w:tc>
          <w:tcPr>
            <w:tcW w:w="675"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113</w:t>
            </w:r>
          </w:p>
        </w:tc>
      </w:tr>
      <w:tr w:rsidR="00474CEB" w:rsidRPr="00A66610" w:rsidTr="00505FA1">
        <w:trPr>
          <w:trHeight w:val="270"/>
        </w:trPr>
        <w:tc>
          <w:tcPr>
            <w:tcW w:w="1622"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Greenspace</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45</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146</w:t>
            </w:r>
          </w:p>
        </w:tc>
        <w:tc>
          <w:tcPr>
            <w:tcW w:w="675"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211</w:t>
            </w:r>
          </w:p>
        </w:tc>
      </w:tr>
      <w:tr w:rsidR="00474CEB" w:rsidRPr="00A66610" w:rsidTr="00505FA1">
        <w:trPr>
          <w:trHeight w:val="270"/>
        </w:trPr>
        <w:tc>
          <w:tcPr>
            <w:tcW w:w="1622"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Roads &amp; Transportation</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676"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94</w:t>
            </w:r>
          </w:p>
        </w:tc>
        <w:tc>
          <w:tcPr>
            <w:tcW w:w="675"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95</w:t>
            </w:r>
          </w:p>
        </w:tc>
      </w:tr>
      <w:tr w:rsidR="00CC7802" w:rsidRPr="00CC7802" w:rsidTr="00CC7802">
        <w:trPr>
          <w:trHeight w:val="270"/>
        </w:trPr>
        <w:tc>
          <w:tcPr>
            <w:tcW w:w="162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67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21</w:t>
            </w:r>
          </w:p>
        </w:tc>
        <w:tc>
          <w:tcPr>
            <w:tcW w:w="67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0</w:t>
            </w:r>
          </w:p>
        </w:tc>
        <w:tc>
          <w:tcPr>
            <w:tcW w:w="67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50</w:t>
            </w:r>
          </w:p>
        </w:tc>
        <w:tc>
          <w:tcPr>
            <w:tcW w:w="67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872</w:t>
            </w:r>
          </w:p>
        </w:tc>
        <w:tc>
          <w:tcPr>
            <w:tcW w:w="675"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943</w:t>
            </w:r>
          </w:p>
        </w:tc>
      </w:tr>
    </w:tbl>
    <w:p w:rsidR="00474CEB" w:rsidRPr="00EC5F4D" w:rsidRDefault="00474CEB" w:rsidP="00474CEB">
      <w:pPr>
        <w:tabs>
          <w:tab w:val="left" w:pos="8789"/>
        </w:tabs>
        <w:spacing w:before="100" w:beforeAutospacing="1" w:after="0" w:line="240" w:lineRule="auto"/>
        <w:rPr>
          <w:rFonts w:ascii="Arial" w:eastAsia="Calibri" w:hAnsi="Arial" w:cs="Arial"/>
          <w:sz w:val="16"/>
          <w:szCs w:val="16"/>
        </w:rPr>
      </w:pPr>
      <w:r w:rsidRPr="002802F0">
        <w:rPr>
          <w:rFonts w:ascii="Arial" w:hAnsi="Arial" w:cs="Arial"/>
        </w:rPr>
        <w:t xml:space="preserve">Environment and Neighbourhood services employ 943 staff (615 FTE).  The majority of these employees are responsible for providing frontline services to the people of West Dunbartonshire. </w:t>
      </w:r>
      <w:r w:rsidRPr="002802F0">
        <w:rPr>
          <w:rFonts w:ascii="Arial" w:eastAsia="Calibri" w:hAnsi="Arial" w:cs="Arial"/>
        </w:rPr>
        <w:t>There has been a reduction in headcount of 26 when compared to the number of staff employ</w:t>
      </w:r>
      <w:r w:rsidR="00BA11CF">
        <w:rPr>
          <w:rFonts w:ascii="Arial" w:eastAsia="Calibri" w:hAnsi="Arial" w:cs="Arial"/>
        </w:rPr>
        <w:t xml:space="preserve">ed at the same period in 2016. </w:t>
      </w:r>
      <w:r>
        <w:rPr>
          <w:rFonts w:ascii="Arial" w:eastAsia="Calibri" w:hAnsi="Arial" w:cs="Arial"/>
        </w:rPr>
        <w:t>*</w:t>
      </w:r>
      <w:r w:rsidRPr="00EC5F4D">
        <w:rPr>
          <w:rFonts w:ascii="Arial" w:eastAsia="Calibri" w:hAnsi="Arial" w:cs="Arial"/>
          <w:sz w:val="16"/>
          <w:szCs w:val="16"/>
        </w:rPr>
        <w:t xml:space="preserve">Note 37 seasonal employees </w:t>
      </w:r>
      <w:r>
        <w:rPr>
          <w:rFonts w:ascii="Arial" w:eastAsia="Calibri" w:hAnsi="Arial" w:cs="Arial"/>
          <w:sz w:val="16"/>
          <w:szCs w:val="16"/>
        </w:rPr>
        <w:t xml:space="preserve">in Greenspace </w:t>
      </w:r>
      <w:r w:rsidRPr="00EC5F4D">
        <w:rPr>
          <w:rFonts w:ascii="Arial" w:eastAsia="Calibri" w:hAnsi="Arial" w:cs="Arial"/>
          <w:sz w:val="16"/>
          <w:szCs w:val="16"/>
        </w:rPr>
        <w:t>are held on the WMS system as casuals on cessation of fixed term contract.</w:t>
      </w:r>
    </w:p>
    <w:p w:rsidR="00474CEB" w:rsidRDefault="00474CEB" w:rsidP="00474CEB">
      <w:pPr>
        <w:spacing w:before="100" w:beforeAutospacing="1" w:after="0" w:line="240" w:lineRule="auto"/>
        <w:rPr>
          <w:rFonts w:ascii="Arial" w:hAnsi="Arial" w:cs="Arial"/>
        </w:rPr>
      </w:pPr>
      <w:r>
        <w:rPr>
          <w:noProof/>
          <w:lang w:val="en-GB" w:eastAsia="en-GB"/>
        </w:rPr>
        <w:drawing>
          <wp:inline distT="0" distB="0" distL="0" distR="0" wp14:anchorId="5028FA0C" wp14:editId="4F0D6F82">
            <wp:extent cx="3194463" cy="2220686"/>
            <wp:effectExtent l="0" t="0" r="25400" b="2730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r>
        <w:rPr>
          <w:noProof/>
          <w:lang w:val="en-GB" w:eastAsia="en-GB"/>
        </w:rPr>
        <w:drawing>
          <wp:inline distT="0" distB="0" distL="0" distR="0" wp14:anchorId="517B9D33" wp14:editId="0E4A989A">
            <wp:extent cx="3895106" cy="2232562"/>
            <wp:effectExtent l="0" t="0" r="10160" b="1587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4CEB" w:rsidRPr="007C3C3A" w:rsidRDefault="00474CEB" w:rsidP="0019210F">
      <w:pPr>
        <w:numPr>
          <w:ilvl w:val="0"/>
          <w:numId w:val="11"/>
        </w:numPr>
        <w:spacing w:before="100" w:beforeAutospacing="1" w:after="0" w:line="240" w:lineRule="auto"/>
        <w:rPr>
          <w:rFonts w:ascii="Arial" w:hAnsi="Arial" w:cs="Arial"/>
          <w:b/>
        </w:rPr>
      </w:pPr>
      <w:r w:rsidRPr="007C3C3A">
        <w:rPr>
          <w:rFonts w:ascii="Arial" w:hAnsi="Arial" w:cs="Arial"/>
          <w:b/>
        </w:rPr>
        <w:lastRenderedPageBreak/>
        <w:t>F</w:t>
      </w:r>
      <w:r>
        <w:rPr>
          <w:rFonts w:ascii="Arial" w:hAnsi="Arial" w:cs="Arial"/>
          <w:b/>
        </w:rPr>
        <w:t>ull Time E</w:t>
      </w:r>
      <w:r w:rsidRPr="007C3C3A">
        <w:rPr>
          <w:rFonts w:ascii="Arial" w:hAnsi="Arial" w:cs="Arial"/>
          <w:b/>
        </w:rPr>
        <w:t>quivalent</w:t>
      </w:r>
    </w:p>
    <w:tbl>
      <w:tblPr>
        <w:tblW w:w="3288" w:type="pct"/>
        <w:tblLook w:val="04A0" w:firstRow="1" w:lastRow="0" w:firstColumn="1" w:lastColumn="0" w:noHBand="0" w:noVBand="1"/>
      </w:tblPr>
      <w:tblGrid>
        <w:gridCol w:w="3827"/>
        <w:gridCol w:w="1374"/>
        <w:gridCol w:w="1374"/>
        <w:gridCol w:w="1374"/>
        <w:gridCol w:w="1372"/>
      </w:tblGrid>
      <w:tr w:rsidR="00CC7802" w:rsidRPr="00CC7802" w:rsidTr="00CC7802">
        <w:trPr>
          <w:trHeight w:val="270"/>
        </w:trPr>
        <w:tc>
          <w:tcPr>
            <w:tcW w:w="205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p>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73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Apprentice</w:t>
            </w:r>
          </w:p>
        </w:tc>
        <w:tc>
          <w:tcPr>
            <w:tcW w:w="73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Fixed-Term</w:t>
            </w:r>
          </w:p>
        </w:tc>
        <w:tc>
          <w:tcPr>
            <w:tcW w:w="73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Permanent</w:t>
            </w:r>
          </w:p>
        </w:tc>
        <w:tc>
          <w:tcPr>
            <w:tcW w:w="73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Total</w:t>
            </w:r>
          </w:p>
        </w:tc>
      </w:tr>
      <w:tr w:rsidR="00505FA1" w:rsidRPr="00A66610" w:rsidTr="00505FA1">
        <w:trPr>
          <w:trHeight w:val="270"/>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Facilities Management</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0.00</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0.64</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274.83</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275.47</w:t>
            </w:r>
          </w:p>
        </w:tc>
      </w:tr>
      <w:tr w:rsidR="00505FA1" w:rsidRPr="00A66610" w:rsidTr="00505FA1">
        <w:trPr>
          <w:trHeight w:val="270"/>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Fleet &amp; Waste Services</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0.00</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1.00</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109.78</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110.78</w:t>
            </w:r>
          </w:p>
        </w:tc>
      </w:tr>
      <w:tr w:rsidR="00505FA1" w:rsidRPr="00A66610" w:rsidTr="00505FA1">
        <w:trPr>
          <w:trHeight w:val="270"/>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Greenspace</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19.95</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9.95</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138.61</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168.51</w:t>
            </w:r>
          </w:p>
        </w:tc>
      </w:tr>
      <w:tr w:rsidR="00505FA1" w:rsidRPr="00A66610" w:rsidTr="00505FA1">
        <w:trPr>
          <w:trHeight w:val="270"/>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Roads &amp; Transportation</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1.00</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0.00</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59.71</w:t>
            </w:r>
          </w:p>
        </w:tc>
        <w:tc>
          <w:tcPr>
            <w:tcW w:w="737" w:type="pct"/>
            <w:tcBorders>
              <w:top w:val="nil"/>
              <w:left w:val="nil"/>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60.71</w:t>
            </w:r>
          </w:p>
        </w:tc>
      </w:tr>
      <w:tr w:rsidR="00CC7802" w:rsidRPr="00CC7802" w:rsidTr="00CC7802">
        <w:trPr>
          <w:trHeight w:val="270"/>
        </w:trPr>
        <w:tc>
          <w:tcPr>
            <w:tcW w:w="205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73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20.95</w:t>
            </w:r>
          </w:p>
        </w:tc>
        <w:tc>
          <w:tcPr>
            <w:tcW w:w="73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11.58</w:t>
            </w:r>
          </w:p>
        </w:tc>
        <w:tc>
          <w:tcPr>
            <w:tcW w:w="73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582.93</w:t>
            </w:r>
          </w:p>
        </w:tc>
        <w:tc>
          <w:tcPr>
            <w:tcW w:w="73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615.47</w:t>
            </w:r>
          </w:p>
        </w:tc>
      </w:tr>
    </w:tbl>
    <w:p w:rsidR="00474CEB" w:rsidRPr="002802F0" w:rsidRDefault="00474CEB" w:rsidP="00474CEB">
      <w:pPr>
        <w:spacing w:before="100" w:beforeAutospacing="1" w:after="0" w:line="240" w:lineRule="auto"/>
        <w:rPr>
          <w:rFonts w:ascii="Arial" w:hAnsi="Arial" w:cs="Arial"/>
        </w:rPr>
      </w:pPr>
      <w:r w:rsidRPr="002802F0">
        <w:rPr>
          <w:rFonts w:ascii="Arial" w:hAnsi="Arial" w:cs="Arial"/>
        </w:rPr>
        <w:t>The above table details the number of FTE staff employed by service area and contract status</w:t>
      </w:r>
      <w:r>
        <w:rPr>
          <w:rFonts w:ascii="Arial" w:hAnsi="Arial" w:cs="Arial"/>
        </w:rPr>
        <w:t xml:space="preserve"> at 1 April 2017</w:t>
      </w:r>
      <w:r w:rsidRPr="002802F0">
        <w:rPr>
          <w:rFonts w:ascii="Arial" w:hAnsi="Arial" w:cs="Arial"/>
        </w:rPr>
        <w:t>.   Greenspace employ more fixed term employees than other service areas due to the seas</w:t>
      </w:r>
      <w:r>
        <w:rPr>
          <w:rFonts w:ascii="Arial" w:hAnsi="Arial" w:cs="Arial"/>
        </w:rPr>
        <w:t>onal variance in the workload.</w:t>
      </w:r>
      <w:r w:rsidRPr="002802F0">
        <w:rPr>
          <w:rFonts w:ascii="Arial" w:hAnsi="Arial" w:cs="Arial"/>
        </w:rPr>
        <w:t xml:space="preserve"> There are no fixed term contracts for more than 4 years.</w:t>
      </w:r>
    </w:p>
    <w:p w:rsidR="00474CEB" w:rsidRPr="002802F0" w:rsidRDefault="00474CEB" w:rsidP="00474CEB">
      <w:pPr>
        <w:spacing w:before="100" w:beforeAutospacing="1" w:after="0" w:line="240" w:lineRule="auto"/>
        <w:rPr>
          <w:rFonts w:ascii="Arial" w:hAnsi="Arial" w:cs="Arial"/>
          <w:u w:val="single"/>
        </w:rPr>
      </w:pPr>
      <w:r>
        <w:rPr>
          <w:noProof/>
          <w:lang w:val="en-GB" w:eastAsia="en-GB"/>
        </w:rPr>
        <w:drawing>
          <wp:inline distT="0" distB="0" distL="0" distR="0" wp14:anchorId="5ECD1513" wp14:editId="7CAE5E87">
            <wp:extent cx="3459480" cy="2381885"/>
            <wp:effectExtent l="0" t="0" r="26670" b="1841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t xml:space="preserve">               </w:t>
      </w:r>
      <w:r>
        <w:rPr>
          <w:noProof/>
          <w:lang w:val="en-GB" w:eastAsia="en-GB"/>
        </w:rPr>
        <w:drawing>
          <wp:inline distT="0" distB="0" distL="0" distR="0" wp14:anchorId="486D5F12" wp14:editId="26E52350">
            <wp:extent cx="3803015" cy="2381885"/>
            <wp:effectExtent l="0" t="0" r="26035" b="1841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11CF" w:rsidRDefault="00BA11CF">
      <w:pPr>
        <w:spacing w:after="0" w:line="240" w:lineRule="auto"/>
        <w:rPr>
          <w:rFonts w:ascii="Arial" w:hAnsi="Arial" w:cs="Arial"/>
          <w:b/>
        </w:rPr>
      </w:pPr>
      <w:r>
        <w:rPr>
          <w:rFonts w:ascii="Arial" w:hAnsi="Arial" w:cs="Arial"/>
          <w:b/>
        </w:rPr>
        <w:br w:type="page"/>
      </w:r>
    </w:p>
    <w:p w:rsidR="00474CEB" w:rsidRPr="002802F0" w:rsidRDefault="00474CEB" w:rsidP="0019210F">
      <w:pPr>
        <w:numPr>
          <w:ilvl w:val="0"/>
          <w:numId w:val="11"/>
        </w:numPr>
        <w:spacing w:before="100" w:beforeAutospacing="1" w:after="0" w:line="240" w:lineRule="auto"/>
        <w:rPr>
          <w:rFonts w:ascii="Arial" w:hAnsi="Arial" w:cs="Arial"/>
          <w:b/>
        </w:rPr>
      </w:pPr>
      <w:r w:rsidRPr="00A66610">
        <w:rPr>
          <w:rFonts w:ascii="Arial" w:hAnsi="Arial" w:cs="Arial"/>
          <w:b/>
        </w:rPr>
        <w:lastRenderedPageBreak/>
        <w:t>Fixed-term contracts</w:t>
      </w:r>
    </w:p>
    <w:tbl>
      <w:tblPr>
        <w:tblW w:w="3474" w:type="pct"/>
        <w:tblLayout w:type="fixed"/>
        <w:tblLook w:val="04A0" w:firstRow="1" w:lastRow="0" w:firstColumn="1" w:lastColumn="0" w:noHBand="0" w:noVBand="1"/>
      </w:tblPr>
      <w:tblGrid>
        <w:gridCol w:w="3825"/>
        <w:gridCol w:w="3216"/>
        <w:gridCol w:w="2807"/>
      </w:tblGrid>
      <w:tr w:rsidR="00CC7802" w:rsidRPr="00CC7802" w:rsidTr="00CC7802">
        <w:trPr>
          <w:trHeight w:val="270"/>
        </w:trPr>
        <w:tc>
          <w:tcPr>
            <w:tcW w:w="1942"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FTCs Ending in Next 6 Months</w:t>
            </w:r>
          </w:p>
        </w:tc>
        <w:tc>
          <w:tcPr>
            <w:tcW w:w="1425"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FTCs Longer than 2 Years</w:t>
            </w:r>
          </w:p>
        </w:tc>
      </w:tr>
      <w:tr w:rsidR="00474CEB" w:rsidRPr="00A66610" w:rsidTr="00505FA1">
        <w:trPr>
          <w:trHeight w:val="270"/>
        </w:trPr>
        <w:tc>
          <w:tcPr>
            <w:tcW w:w="1942" w:type="pct"/>
            <w:tcBorders>
              <w:top w:val="nil"/>
              <w:left w:val="single" w:sz="8" w:space="0" w:color="auto"/>
              <w:bottom w:val="single" w:sz="8" w:space="0" w:color="auto"/>
              <w:right w:val="single" w:sz="4"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Facilities Management</w:t>
            </w:r>
          </w:p>
        </w:tc>
        <w:tc>
          <w:tcPr>
            <w:tcW w:w="1633" w:type="pct"/>
            <w:tcBorders>
              <w:top w:val="single" w:sz="4" w:space="0" w:color="auto"/>
              <w:left w:val="single" w:sz="4" w:space="0" w:color="auto"/>
              <w:bottom w:val="single" w:sz="4" w:space="0" w:color="auto"/>
              <w:right w:val="single" w:sz="4" w:space="0" w:color="auto"/>
            </w:tcBorders>
          </w:tcPr>
          <w:p w:rsidR="00474CEB" w:rsidRPr="00A66610" w:rsidRDefault="00474CEB" w:rsidP="00474CEB">
            <w:pPr>
              <w:spacing w:before="100" w:beforeAutospacing="1" w:after="0" w:line="240" w:lineRule="auto"/>
              <w:jc w:val="right"/>
              <w:rPr>
                <w:rFonts w:ascii="Arial" w:hAnsi="Arial" w:cs="Arial"/>
                <w:color w:val="000000"/>
                <w:sz w:val="20"/>
                <w:szCs w:val="20"/>
              </w:rPr>
            </w:pPr>
            <w:r>
              <w:rPr>
                <w:rFonts w:ascii="Arial" w:hAnsi="Arial" w:cs="Arial"/>
                <w:color w:val="000000"/>
                <w:sz w:val="20"/>
                <w:szCs w:val="20"/>
              </w:rPr>
              <w:t>1</w:t>
            </w:r>
          </w:p>
        </w:tc>
        <w:tc>
          <w:tcPr>
            <w:tcW w:w="1425" w:type="pct"/>
            <w:tcBorders>
              <w:top w:val="nil"/>
              <w:left w:val="single" w:sz="4"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r>
      <w:tr w:rsidR="00474CEB" w:rsidRPr="00A66610" w:rsidTr="00505FA1">
        <w:trPr>
          <w:trHeight w:val="270"/>
        </w:trPr>
        <w:tc>
          <w:tcPr>
            <w:tcW w:w="1942" w:type="pct"/>
            <w:tcBorders>
              <w:top w:val="nil"/>
              <w:left w:val="single" w:sz="8" w:space="0" w:color="auto"/>
              <w:bottom w:val="single" w:sz="8" w:space="0" w:color="auto"/>
              <w:right w:val="single" w:sz="4"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Fleet &amp; Waste Services</w:t>
            </w:r>
          </w:p>
        </w:tc>
        <w:tc>
          <w:tcPr>
            <w:tcW w:w="1633" w:type="pct"/>
            <w:tcBorders>
              <w:top w:val="single" w:sz="4" w:space="0" w:color="auto"/>
              <w:left w:val="single" w:sz="4" w:space="0" w:color="auto"/>
              <w:bottom w:val="single" w:sz="4" w:space="0" w:color="auto"/>
              <w:right w:val="single" w:sz="4" w:space="0" w:color="auto"/>
            </w:tcBorders>
          </w:tcPr>
          <w:p w:rsidR="00474CEB" w:rsidRPr="00A66610" w:rsidRDefault="00474CEB" w:rsidP="00474CEB">
            <w:pPr>
              <w:spacing w:before="100" w:beforeAutospacing="1" w:after="0" w:line="240" w:lineRule="auto"/>
              <w:jc w:val="right"/>
              <w:rPr>
                <w:rFonts w:ascii="Arial" w:hAnsi="Arial" w:cs="Arial"/>
                <w:sz w:val="20"/>
                <w:szCs w:val="20"/>
              </w:rPr>
            </w:pPr>
            <w:r>
              <w:rPr>
                <w:rFonts w:ascii="Arial" w:hAnsi="Arial" w:cs="Arial"/>
                <w:sz w:val="20"/>
                <w:szCs w:val="20"/>
              </w:rPr>
              <w:t>1</w:t>
            </w:r>
          </w:p>
        </w:tc>
        <w:tc>
          <w:tcPr>
            <w:tcW w:w="1425" w:type="pct"/>
            <w:tcBorders>
              <w:top w:val="nil"/>
              <w:left w:val="single" w:sz="4"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sz w:val="20"/>
                <w:szCs w:val="20"/>
              </w:rPr>
            </w:pPr>
            <w:r w:rsidRPr="00A66610">
              <w:rPr>
                <w:rFonts w:ascii="Arial" w:hAnsi="Arial" w:cs="Arial"/>
                <w:sz w:val="20"/>
                <w:szCs w:val="20"/>
              </w:rPr>
              <w:t>0</w:t>
            </w:r>
          </w:p>
        </w:tc>
      </w:tr>
      <w:tr w:rsidR="00474CEB" w:rsidRPr="00A66610" w:rsidTr="00505FA1">
        <w:trPr>
          <w:trHeight w:val="270"/>
        </w:trPr>
        <w:tc>
          <w:tcPr>
            <w:tcW w:w="1942" w:type="pct"/>
            <w:tcBorders>
              <w:top w:val="nil"/>
              <w:left w:val="single" w:sz="8" w:space="0" w:color="auto"/>
              <w:bottom w:val="single" w:sz="8" w:space="0" w:color="auto"/>
              <w:right w:val="single" w:sz="4"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Greenspace</w:t>
            </w:r>
          </w:p>
        </w:tc>
        <w:tc>
          <w:tcPr>
            <w:tcW w:w="1633" w:type="pct"/>
            <w:tcBorders>
              <w:top w:val="single" w:sz="4" w:space="0" w:color="auto"/>
              <w:left w:val="single" w:sz="4" w:space="0" w:color="auto"/>
              <w:bottom w:val="single" w:sz="4" w:space="0" w:color="auto"/>
              <w:right w:val="single" w:sz="4" w:space="0" w:color="auto"/>
            </w:tcBorders>
          </w:tcPr>
          <w:p w:rsidR="00474CEB" w:rsidRPr="00A66610" w:rsidRDefault="00474CEB" w:rsidP="00474CEB">
            <w:pPr>
              <w:spacing w:before="100" w:beforeAutospacing="1" w:after="0" w:line="240" w:lineRule="auto"/>
              <w:jc w:val="right"/>
              <w:rPr>
                <w:rFonts w:ascii="Arial" w:hAnsi="Arial" w:cs="Arial"/>
                <w:sz w:val="20"/>
                <w:szCs w:val="20"/>
              </w:rPr>
            </w:pPr>
            <w:r>
              <w:rPr>
                <w:rFonts w:ascii="Arial" w:hAnsi="Arial" w:cs="Arial"/>
                <w:sz w:val="20"/>
                <w:szCs w:val="20"/>
              </w:rPr>
              <w:t>5</w:t>
            </w:r>
          </w:p>
        </w:tc>
        <w:tc>
          <w:tcPr>
            <w:tcW w:w="1425" w:type="pct"/>
            <w:tcBorders>
              <w:top w:val="nil"/>
              <w:left w:val="single" w:sz="4"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sz w:val="20"/>
                <w:szCs w:val="20"/>
              </w:rPr>
            </w:pPr>
            <w:r w:rsidRPr="00A66610">
              <w:rPr>
                <w:rFonts w:ascii="Arial" w:hAnsi="Arial" w:cs="Arial"/>
                <w:sz w:val="20"/>
                <w:szCs w:val="20"/>
              </w:rPr>
              <w:t>4</w:t>
            </w:r>
          </w:p>
        </w:tc>
      </w:tr>
      <w:tr w:rsidR="00474CEB" w:rsidRPr="00A66610" w:rsidTr="00505FA1">
        <w:trPr>
          <w:trHeight w:val="270"/>
        </w:trPr>
        <w:tc>
          <w:tcPr>
            <w:tcW w:w="1942" w:type="pct"/>
            <w:tcBorders>
              <w:top w:val="nil"/>
              <w:left w:val="single" w:sz="8" w:space="0" w:color="auto"/>
              <w:bottom w:val="single" w:sz="8" w:space="0" w:color="auto"/>
              <w:right w:val="single" w:sz="4" w:space="0" w:color="auto"/>
            </w:tcBorders>
            <w:shd w:val="clear" w:color="auto" w:fill="auto"/>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Roads &amp; Transportation</w:t>
            </w:r>
          </w:p>
        </w:tc>
        <w:tc>
          <w:tcPr>
            <w:tcW w:w="1633" w:type="pct"/>
            <w:tcBorders>
              <w:top w:val="single" w:sz="4" w:space="0" w:color="auto"/>
              <w:left w:val="single" w:sz="4" w:space="0" w:color="auto"/>
              <w:bottom w:val="single" w:sz="4" w:space="0" w:color="auto"/>
              <w:right w:val="single" w:sz="4" w:space="0" w:color="auto"/>
            </w:tcBorders>
          </w:tcPr>
          <w:p w:rsidR="00474CEB" w:rsidRPr="00A66610" w:rsidRDefault="00474CEB" w:rsidP="00474CEB">
            <w:pPr>
              <w:spacing w:before="100" w:beforeAutospacing="1" w:after="0" w:line="240" w:lineRule="auto"/>
              <w:jc w:val="right"/>
              <w:rPr>
                <w:rFonts w:ascii="Arial" w:hAnsi="Arial" w:cs="Arial"/>
                <w:color w:val="000000"/>
                <w:sz w:val="20"/>
                <w:szCs w:val="20"/>
              </w:rPr>
            </w:pPr>
            <w:r>
              <w:rPr>
                <w:rFonts w:ascii="Arial" w:hAnsi="Arial" w:cs="Arial"/>
                <w:color w:val="000000"/>
                <w:sz w:val="20"/>
                <w:szCs w:val="20"/>
              </w:rPr>
              <w:t>0</w:t>
            </w:r>
          </w:p>
        </w:tc>
        <w:tc>
          <w:tcPr>
            <w:tcW w:w="1425" w:type="pct"/>
            <w:tcBorders>
              <w:top w:val="nil"/>
              <w:left w:val="single" w:sz="4" w:space="0" w:color="auto"/>
              <w:bottom w:val="single" w:sz="8" w:space="0" w:color="auto"/>
              <w:right w:val="single" w:sz="8" w:space="0" w:color="auto"/>
            </w:tcBorders>
            <w:shd w:val="clear" w:color="auto" w:fill="auto"/>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r>
      <w:tr w:rsidR="00CC7802" w:rsidRPr="00CC7802" w:rsidTr="00CC7802">
        <w:trPr>
          <w:trHeight w:val="270"/>
        </w:trPr>
        <w:tc>
          <w:tcPr>
            <w:tcW w:w="1942" w:type="pct"/>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w:t>
            </w:r>
          </w:p>
        </w:tc>
        <w:tc>
          <w:tcPr>
            <w:tcW w:w="1425" w:type="pct"/>
            <w:tcBorders>
              <w:top w:val="nil"/>
              <w:left w:val="single" w:sz="4"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w:t>
            </w:r>
          </w:p>
        </w:tc>
      </w:tr>
    </w:tbl>
    <w:p w:rsidR="00474CEB" w:rsidRPr="00555912" w:rsidRDefault="00474CEB" w:rsidP="00474CEB">
      <w:pPr>
        <w:spacing w:before="100" w:beforeAutospacing="1" w:after="0" w:line="240" w:lineRule="auto"/>
        <w:rPr>
          <w:rFonts w:ascii="Arial" w:hAnsi="Arial" w:cs="Arial"/>
        </w:rPr>
      </w:pPr>
      <w:r w:rsidRPr="00555912">
        <w:rPr>
          <w:rFonts w:ascii="Arial" w:hAnsi="Arial" w:cs="Arial"/>
        </w:rPr>
        <w:t xml:space="preserve">There </w:t>
      </w:r>
      <w:r>
        <w:rPr>
          <w:rFonts w:ascii="Arial" w:hAnsi="Arial" w:cs="Arial"/>
        </w:rPr>
        <w:t>were</w:t>
      </w:r>
      <w:r w:rsidRPr="00555912">
        <w:rPr>
          <w:rFonts w:ascii="Arial" w:hAnsi="Arial" w:cs="Arial"/>
        </w:rPr>
        <w:t xml:space="preserve"> no employees within Environment and Neighbourhood on a fixed term contract ending within 6 months.  There is however 4 employees within Greenspace who have been on a fixed term contract for more than 2 years.</w:t>
      </w:r>
      <w:r>
        <w:rPr>
          <w:rFonts w:ascii="Arial" w:hAnsi="Arial" w:cs="Arial"/>
        </w:rPr>
        <w:t xml:space="preserve">  There are no employees with a fixed term contract for more than 4 years.</w:t>
      </w:r>
    </w:p>
    <w:p w:rsidR="00BA11CF" w:rsidRDefault="00BA11CF">
      <w:pPr>
        <w:spacing w:after="0" w:line="240" w:lineRule="auto"/>
        <w:rPr>
          <w:rFonts w:ascii="Arial" w:hAnsi="Arial" w:cs="Arial"/>
          <w:b/>
          <w:bCs/>
          <w:color w:val="000000"/>
        </w:rPr>
      </w:pPr>
      <w:r>
        <w:rPr>
          <w:rFonts w:ascii="Arial" w:hAnsi="Arial" w:cs="Arial"/>
          <w:b/>
          <w:bCs/>
          <w:color w:val="000000"/>
        </w:rPr>
        <w:br w:type="page"/>
      </w:r>
    </w:p>
    <w:p w:rsidR="00474CEB" w:rsidRPr="00765129" w:rsidRDefault="00474CEB" w:rsidP="0019210F">
      <w:pPr>
        <w:numPr>
          <w:ilvl w:val="0"/>
          <w:numId w:val="11"/>
        </w:numPr>
        <w:spacing w:before="100" w:beforeAutospacing="1" w:after="0" w:line="240" w:lineRule="auto"/>
        <w:rPr>
          <w:rFonts w:ascii="Arial" w:hAnsi="Arial" w:cs="Arial"/>
          <w:b/>
        </w:rPr>
      </w:pPr>
      <w:r w:rsidRPr="00765129">
        <w:rPr>
          <w:rFonts w:ascii="Arial" w:hAnsi="Arial" w:cs="Arial"/>
          <w:b/>
          <w:bCs/>
          <w:color w:val="000000"/>
        </w:rPr>
        <w:lastRenderedPageBreak/>
        <w:t>Full-time/Part-time Split</w:t>
      </w:r>
    </w:p>
    <w:tbl>
      <w:tblPr>
        <w:tblW w:w="2288" w:type="pct"/>
        <w:tblLook w:val="04A0" w:firstRow="1" w:lastRow="0" w:firstColumn="1" w:lastColumn="0" w:noHBand="0" w:noVBand="1"/>
      </w:tblPr>
      <w:tblGrid>
        <w:gridCol w:w="3828"/>
        <w:gridCol w:w="1330"/>
        <w:gridCol w:w="1328"/>
      </w:tblGrid>
      <w:tr w:rsidR="00CC7802" w:rsidRPr="00CC7802" w:rsidTr="00CC7802">
        <w:trPr>
          <w:trHeight w:val="315"/>
        </w:trPr>
        <w:tc>
          <w:tcPr>
            <w:tcW w:w="2951"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102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Full-Time</w:t>
            </w:r>
          </w:p>
        </w:tc>
        <w:tc>
          <w:tcPr>
            <w:tcW w:w="102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Part-Time</w:t>
            </w:r>
          </w:p>
        </w:tc>
      </w:tr>
      <w:tr w:rsidR="00474CEB" w:rsidRPr="00A66610" w:rsidTr="00505FA1">
        <w:trPr>
          <w:trHeight w:val="270"/>
        </w:trPr>
        <w:tc>
          <w:tcPr>
            <w:tcW w:w="2951" w:type="pct"/>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Facilities Management</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48</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476</w:t>
            </w:r>
          </w:p>
        </w:tc>
      </w:tr>
      <w:tr w:rsidR="00474CEB" w:rsidRPr="00A66610" w:rsidTr="00505FA1">
        <w:trPr>
          <w:trHeight w:val="270"/>
        </w:trPr>
        <w:tc>
          <w:tcPr>
            <w:tcW w:w="2951" w:type="pct"/>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Fleet &amp; Waste Services</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109</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w:t>
            </w:r>
          </w:p>
        </w:tc>
      </w:tr>
      <w:tr w:rsidR="00474CEB" w:rsidRPr="00A66610" w:rsidTr="00505FA1">
        <w:trPr>
          <w:trHeight w:val="270"/>
        </w:trPr>
        <w:tc>
          <w:tcPr>
            <w:tcW w:w="2951" w:type="pct"/>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Greenspace</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189</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22</w:t>
            </w:r>
          </w:p>
        </w:tc>
      </w:tr>
      <w:tr w:rsidR="00474CEB" w:rsidRPr="00A66610" w:rsidTr="00505FA1">
        <w:trPr>
          <w:trHeight w:val="270"/>
        </w:trPr>
        <w:tc>
          <w:tcPr>
            <w:tcW w:w="2951" w:type="pct"/>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Roads &amp; Transportation</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53</w:t>
            </w:r>
          </w:p>
        </w:tc>
        <w:tc>
          <w:tcPr>
            <w:tcW w:w="1025" w:type="pct"/>
            <w:tcBorders>
              <w:top w:val="nil"/>
              <w:left w:val="nil"/>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42</w:t>
            </w:r>
          </w:p>
        </w:tc>
      </w:tr>
      <w:tr w:rsidR="00CC7802" w:rsidRPr="00CC7802" w:rsidTr="00CC7802">
        <w:trPr>
          <w:trHeight w:val="270"/>
        </w:trPr>
        <w:tc>
          <w:tcPr>
            <w:tcW w:w="2951"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1025"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399</w:t>
            </w:r>
          </w:p>
        </w:tc>
        <w:tc>
          <w:tcPr>
            <w:tcW w:w="1025"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544</w:t>
            </w:r>
          </w:p>
        </w:tc>
      </w:tr>
    </w:tbl>
    <w:p w:rsidR="00474CEB" w:rsidRPr="002802F0" w:rsidRDefault="00474CEB" w:rsidP="00474CEB">
      <w:pPr>
        <w:spacing w:before="100" w:beforeAutospacing="1" w:after="0" w:line="240" w:lineRule="auto"/>
        <w:rPr>
          <w:rFonts w:ascii="Arial" w:hAnsi="Arial" w:cs="Arial"/>
        </w:rPr>
      </w:pPr>
      <w:r w:rsidRPr="002802F0">
        <w:rPr>
          <w:rFonts w:ascii="Arial" w:hAnsi="Arial" w:cs="Arial"/>
        </w:rPr>
        <w:t xml:space="preserve">As shown, 42% of the workforce within </w:t>
      </w:r>
      <w:r w:rsidR="00737A89">
        <w:rPr>
          <w:rFonts w:ascii="Arial" w:hAnsi="Arial" w:cs="Arial"/>
        </w:rPr>
        <w:t>Environment and N</w:t>
      </w:r>
      <w:r w:rsidRPr="002802F0">
        <w:rPr>
          <w:rFonts w:ascii="Arial" w:hAnsi="Arial" w:cs="Arial"/>
        </w:rPr>
        <w:t>eighbourhood are employed on a full-time basis and 58% are part-time. Environment and Neighbourhood have a higher number of part-time employees than Council overall (47%). There is a significantly higher percen</w:t>
      </w:r>
      <w:r w:rsidR="00737A89">
        <w:rPr>
          <w:rFonts w:ascii="Arial" w:hAnsi="Arial" w:cs="Arial"/>
        </w:rPr>
        <w:t>tage of part-time staff within Facilities M</w:t>
      </w:r>
      <w:r w:rsidRPr="002802F0">
        <w:rPr>
          <w:rFonts w:ascii="Arial" w:hAnsi="Arial" w:cs="Arial"/>
        </w:rPr>
        <w:t>anagement (90%).  The majority of part-time posts within Roads and Transportation are employed as School Crossing Patrollers.  The number of part-time employees within Greenspace has increased year on year as full-time employees opt for flexible retirement and part-time hours.  This has enabled the service to meet efficiency savings and introduce seasonal employment to meet the demands of the service.</w:t>
      </w:r>
    </w:p>
    <w:p w:rsidR="00474CEB" w:rsidRDefault="00474CEB" w:rsidP="00474CEB">
      <w:pPr>
        <w:spacing w:before="100" w:beforeAutospacing="1" w:after="0" w:line="240" w:lineRule="auto"/>
        <w:rPr>
          <w:noProof/>
        </w:rPr>
      </w:pPr>
      <w:r>
        <w:rPr>
          <w:noProof/>
          <w:lang w:val="en-GB" w:eastAsia="en-GB"/>
        </w:rPr>
        <w:drawing>
          <wp:inline distT="0" distB="0" distL="0" distR="0" wp14:anchorId="3F886B83" wp14:editId="6F9143F3">
            <wp:extent cx="5883275" cy="2525395"/>
            <wp:effectExtent l="0" t="0" r="22225" b="27305"/>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11CF" w:rsidRDefault="00BA11CF">
      <w:pPr>
        <w:spacing w:after="0" w:line="240" w:lineRule="auto"/>
        <w:rPr>
          <w:rFonts w:ascii="Arial" w:hAnsi="Arial" w:cs="Arial"/>
          <w:b/>
          <w:bCs/>
          <w:color w:val="000000"/>
        </w:rPr>
      </w:pPr>
      <w:r>
        <w:rPr>
          <w:rFonts w:ascii="Arial" w:hAnsi="Arial" w:cs="Arial"/>
          <w:b/>
          <w:bCs/>
          <w:color w:val="000000"/>
        </w:rPr>
        <w:br w:type="page"/>
      </w:r>
    </w:p>
    <w:p w:rsidR="00474CEB" w:rsidRDefault="00BA11CF" w:rsidP="0019210F">
      <w:pPr>
        <w:numPr>
          <w:ilvl w:val="0"/>
          <w:numId w:val="11"/>
        </w:numPr>
        <w:spacing w:before="100" w:beforeAutospacing="1" w:after="0" w:line="240" w:lineRule="auto"/>
        <w:rPr>
          <w:rFonts w:ascii="Arial" w:hAnsi="Arial" w:cs="Arial"/>
          <w:b/>
          <w:bCs/>
          <w:color w:val="000000"/>
        </w:rPr>
      </w:pPr>
      <w:r>
        <w:rPr>
          <w:rFonts w:ascii="Arial" w:hAnsi="Arial" w:cs="Arial"/>
          <w:b/>
          <w:bCs/>
          <w:color w:val="000000"/>
        </w:rPr>
        <w:lastRenderedPageBreak/>
        <w:t>Grade Profile</w:t>
      </w:r>
    </w:p>
    <w:tbl>
      <w:tblPr>
        <w:tblW w:w="13726" w:type="dxa"/>
        <w:tblLook w:val="04A0" w:firstRow="1" w:lastRow="0" w:firstColumn="1" w:lastColumn="0" w:noHBand="0" w:noVBand="1"/>
      </w:tblPr>
      <w:tblGrid>
        <w:gridCol w:w="3530"/>
        <w:gridCol w:w="795"/>
        <w:gridCol w:w="920"/>
        <w:gridCol w:w="940"/>
        <w:gridCol w:w="920"/>
        <w:gridCol w:w="940"/>
        <w:gridCol w:w="960"/>
        <w:gridCol w:w="880"/>
        <w:gridCol w:w="860"/>
        <w:gridCol w:w="820"/>
        <w:gridCol w:w="900"/>
        <w:gridCol w:w="1261"/>
      </w:tblGrid>
      <w:tr w:rsidR="00474CEB" w:rsidRPr="0052727E" w:rsidTr="00474CEB">
        <w:trPr>
          <w:trHeight w:val="270"/>
        </w:trPr>
        <w:tc>
          <w:tcPr>
            <w:tcW w:w="4325" w:type="dxa"/>
            <w:gridSpan w:val="2"/>
            <w:tcBorders>
              <w:top w:val="nil"/>
              <w:left w:val="nil"/>
              <w:bottom w:val="nil"/>
              <w:right w:val="nil"/>
            </w:tcBorders>
            <w:shd w:val="clear" w:color="auto" w:fill="auto"/>
            <w:noWrap/>
            <w:vAlign w:val="center"/>
            <w:hideMark/>
          </w:tcPr>
          <w:p w:rsidR="00474CEB" w:rsidRPr="0052727E" w:rsidRDefault="00474CEB" w:rsidP="00474CEB">
            <w:pPr>
              <w:spacing w:before="100" w:beforeAutospacing="1" w:after="0" w:line="240" w:lineRule="auto"/>
              <w:rPr>
                <w:rFonts w:ascii="Arial" w:hAnsi="Arial" w:cs="Arial"/>
                <w:b/>
                <w:bCs/>
                <w:color w:val="000000"/>
                <w:sz w:val="20"/>
                <w:szCs w:val="20"/>
              </w:rPr>
            </w:pPr>
            <w:r w:rsidRPr="0052727E">
              <w:rPr>
                <w:rFonts w:ascii="Arial" w:hAnsi="Arial" w:cs="Arial"/>
                <w:b/>
                <w:bCs/>
                <w:color w:val="000000"/>
                <w:sz w:val="20"/>
                <w:szCs w:val="20"/>
              </w:rPr>
              <w:t>Number of staff under each grade</w:t>
            </w:r>
          </w:p>
        </w:tc>
        <w:tc>
          <w:tcPr>
            <w:tcW w:w="92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88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c>
          <w:tcPr>
            <w:tcW w:w="1261" w:type="dxa"/>
            <w:tcBorders>
              <w:top w:val="nil"/>
              <w:left w:val="nil"/>
              <w:bottom w:val="nil"/>
              <w:right w:val="nil"/>
            </w:tcBorders>
            <w:shd w:val="clear" w:color="auto" w:fill="auto"/>
            <w:noWrap/>
            <w:vAlign w:val="bottom"/>
            <w:hideMark/>
          </w:tcPr>
          <w:p w:rsidR="00474CEB" w:rsidRPr="0052727E" w:rsidRDefault="00474CEB" w:rsidP="00474CEB">
            <w:pPr>
              <w:spacing w:before="100" w:beforeAutospacing="1" w:after="0" w:line="240" w:lineRule="auto"/>
              <w:rPr>
                <w:rFonts w:ascii="Arial" w:hAnsi="Arial" w:cs="Arial"/>
                <w:color w:val="000000"/>
                <w:sz w:val="20"/>
                <w:szCs w:val="20"/>
              </w:rPr>
            </w:pPr>
          </w:p>
        </w:tc>
      </w:tr>
      <w:tr w:rsidR="00CC7802" w:rsidRPr="00CC7802" w:rsidTr="00CC7802">
        <w:trPr>
          <w:trHeight w:val="270"/>
        </w:trPr>
        <w:tc>
          <w:tcPr>
            <w:tcW w:w="3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795"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1</w:t>
            </w:r>
          </w:p>
        </w:tc>
        <w:tc>
          <w:tcPr>
            <w:tcW w:w="9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2</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3</w:t>
            </w:r>
          </w:p>
        </w:tc>
        <w:tc>
          <w:tcPr>
            <w:tcW w:w="9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4</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6</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7</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8</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9</w:t>
            </w:r>
          </w:p>
        </w:tc>
        <w:tc>
          <w:tcPr>
            <w:tcW w:w="9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11</w:t>
            </w:r>
          </w:p>
        </w:tc>
        <w:tc>
          <w:tcPr>
            <w:tcW w:w="1261"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Mod Apprentice</w:t>
            </w:r>
          </w:p>
        </w:tc>
      </w:tr>
      <w:tr w:rsidR="00474CEB" w:rsidRPr="00A66610" w:rsidTr="00474CEB">
        <w:trPr>
          <w:trHeight w:val="270"/>
        </w:trPr>
        <w:tc>
          <w:tcPr>
            <w:tcW w:w="3530" w:type="dxa"/>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Facilities Management</w:t>
            </w:r>
          </w:p>
        </w:tc>
        <w:tc>
          <w:tcPr>
            <w:tcW w:w="795"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203</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266</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29</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18</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3</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r>
      <w:tr w:rsidR="00474CEB" w:rsidRPr="00A66610" w:rsidTr="00474CEB">
        <w:trPr>
          <w:trHeight w:val="270"/>
        </w:trPr>
        <w:tc>
          <w:tcPr>
            <w:tcW w:w="3530" w:type="dxa"/>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Fleet &amp; Waste Services</w:t>
            </w:r>
          </w:p>
        </w:tc>
        <w:tc>
          <w:tcPr>
            <w:tcW w:w="795"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35</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27</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32</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13</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r>
      <w:tr w:rsidR="00474CEB" w:rsidRPr="00A66610" w:rsidTr="00474CEB">
        <w:trPr>
          <w:trHeight w:val="270"/>
        </w:trPr>
        <w:tc>
          <w:tcPr>
            <w:tcW w:w="3530" w:type="dxa"/>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Greenspace</w:t>
            </w:r>
          </w:p>
        </w:tc>
        <w:tc>
          <w:tcPr>
            <w:tcW w:w="795"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10</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56</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52</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57</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10</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5</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20</w:t>
            </w:r>
          </w:p>
        </w:tc>
      </w:tr>
      <w:tr w:rsidR="00474CEB" w:rsidRPr="00A66610" w:rsidTr="00474CEB">
        <w:trPr>
          <w:trHeight w:val="270"/>
        </w:trPr>
        <w:tc>
          <w:tcPr>
            <w:tcW w:w="3530" w:type="dxa"/>
            <w:tcBorders>
              <w:top w:val="nil"/>
              <w:left w:val="single" w:sz="8" w:space="0" w:color="auto"/>
              <w:bottom w:val="single" w:sz="8" w:space="0" w:color="auto"/>
              <w:right w:val="single" w:sz="8" w:space="0" w:color="auto"/>
            </w:tcBorders>
            <w:shd w:val="clear" w:color="auto" w:fill="auto"/>
            <w:noWrap/>
            <w:vAlign w:val="center"/>
            <w:hideMark/>
          </w:tcPr>
          <w:p w:rsidR="00474CEB" w:rsidRPr="00A66610" w:rsidRDefault="00474CEB" w:rsidP="00474CEB">
            <w:pPr>
              <w:spacing w:before="100" w:beforeAutospacing="1" w:after="0" w:line="240" w:lineRule="auto"/>
              <w:rPr>
                <w:rFonts w:ascii="Arial" w:hAnsi="Arial" w:cs="Arial"/>
                <w:color w:val="000000"/>
                <w:sz w:val="20"/>
                <w:szCs w:val="20"/>
              </w:rPr>
            </w:pPr>
            <w:r w:rsidRPr="00A66610">
              <w:rPr>
                <w:rFonts w:ascii="Arial" w:hAnsi="Arial" w:cs="Arial"/>
                <w:color w:val="000000"/>
                <w:sz w:val="20"/>
                <w:szCs w:val="20"/>
              </w:rPr>
              <w:t>Roads &amp; Transportation</w:t>
            </w:r>
          </w:p>
        </w:tc>
        <w:tc>
          <w:tcPr>
            <w:tcW w:w="795"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41</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25</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15</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7</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2</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A66610" w:rsidRDefault="00474CEB" w:rsidP="00474CEB">
            <w:pPr>
              <w:spacing w:before="100" w:beforeAutospacing="1" w:after="0" w:line="240" w:lineRule="auto"/>
              <w:jc w:val="right"/>
              <w:rPr>
                <w:rFonts w:ascii="Arial" w:hAnsi="Arial" w:cs="Arial"/>
                <w:color w:val="000000"/>
                <w:sz w:val="20"/>
                <w:szCs w:val="20"/>
              </w:rPr>
            </w:pPr>
            <w:r w:rsidRPr="00A66610">
              <w:rPr>
                <w:rFonts w:ascii="Arial" w:hAnsi="Arial" w:cs="Arial"/>
                <w:color w:val="000000"/>
                <w:sz w:val="20"/>
                <w:szCs w:val="20"/>
              </w:rPr>
              <w:t>1</w:t>
            </w:r>
          </w:p>
        </w:tc>
      </w:tr>
      <w:tr w:rsidR="00CC7802" w:rsidRPr="00CC7802" w:rsidTr="00CC7802">
        <w:trPr>
          <w:trHeight w:val="270"/>
        </w:trPr>
        <w:tc>
          <w:tcPr>
            <w:tcW w:w="353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795"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203</w:t>
            </w:r>
          </w:p>
        </w:tc>
        <w:tc>
          <w:tcPr>
            <w:tcW w:w="92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51</w:t>
            </w:r>
          </w:p>
        </w:tc>
        <w:tc>
          <w:tcPr>
            <w:tcW w:w="94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357</w:t>
            </w:r>
          </w:p>
        </w:tc>
        <w:tc>
          <w:tcPr>
            <w:tcW w:w="92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109</w:t>
            </w:r>
          </w:p>
        </w:tc>
        <w:tc>
          <w:tcPr>
            <w:tcW w:w="94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132</w:t>
            </w:r>
          </w:p>
        </w:tc>
        <w:tc>
          <w:tcPr>
            <w:tcW w:w="96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41</w:t>
            </w:r>
          </w:p>
        </w:tc>
        <w:tc>
          <w:tcPr>
            <w:tcW w:w="88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9</w:t>
            </w:r>
          </w:p>
        </w:tc>
        <w:tc>
          <w:tcPr>
            <w:tcW w:w="86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13</w:t>
            </w:r>
          </w:p>
        </w:tc>
        <w:tc>
          <w:tcPr>
            <w:tcW w:w="82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w:t>
            </w:r>
          </w:p>
        </w:tc>
        <w:tc>
          <w:tcPr>
            <w:tcW w:w="90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w:t>
            </w:r>
          </w:p>
        </w:tc>
        <w:tc>
          <w:tcPr>
            <w:tcW w:w="1261"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21</w:t>
            </w:r>
          </w:p>
        </w:tc>
      </w:tr>
    </w:tbl>
    <w:p w:rsidR="00474CEB" w:rsidRDefault="00474CEB" w:rsidP="00474CEB">
      <w:pPr>
        <w:spacing w:before="100" w:beforeAutospacing="1" w:after="0" w:line="240" w:lineRule="auto"/>
        <w:rPr>
          <w:rFonts w:ascii="Arial" w:hAnsi="Arial" w:cs="Arial"/>
          <w:color w:val="000000"/>
        </w:rPr>
      </w:pPr>
      <w:r>
        <w:rPr>
          <w:rFonts w:ascii="Arial" w:hAnsi="Arial" w:cs="Arial"/>
          <w:color w:val="000000"/>
        </w:rPr>
        <w:t xml:space="preserve">The salary profile within Environment and Neighbourhood is as you would expect given the functions undertaken, with </w:t>
      </w:r>
      <w:r w:rsidRPr="002802F0">
        <w:rPr>
          <w:rFonts w:ascii="Arial" w:hAnsi="Arial" w:cs="Arial"/>
          <w:color w:val="000000"/>
        </w:rPr>
        <w:t xml:space="preserve">65% of staff employed within </w:t>
      </w:r>
      <w:r w:rsidR="00505FA1">
        <w:rPr>
          <w:rFonts w:ascii="Arial" w:hAnsi="Arial" w:cs="Arial"/>
          <w:color w:val="000000"/>
        </w:rPr>
        <w:t>Environment and N</w:t>
      </w:r>
      <w:r w:rsidRPr="002802F0">
        <w:rPr>
          <w:rFonts w:ascii="Arial" w:hAnsi="Arial" w:cs="Arial"/>
          <w:color w:val="000000"/>
        </w:rPr>
        <w:t>eighbourhood services are in low grade posts (Grade1 –Grade 3),  30% and a higher percentage of males are employed in (Grade 4 – Grade 6).  Those employed in Grade 7 – Grade 11 have a professionalism and/or line management responsibility and 2% of the workforce are apprentices</w:t>
      </w:r>
    </w:p>
    <w:p w:rsidR="00474CEB" w:rsidRPr="00765129" w:rsidRDefault="00474CEB" w:rsidP="00474CEB">
      <w:pPr>
        <w:spacing w:before="100" w:beforeAutospacing="1" w:after="0" w:line="240" w:lineRule="auto"/>
        <w:rPr>
          <w:rFonts w:ascii="Arial" w:hAnsi="Arial" w:cs="Arial"/>
          <w:b/>
          <w:bCs/>
          <w:color w:val="000000"/>
          <w:sz w:val="20"/>
          <w:szCs w:val="20"/>
        </w:rPr>
      </w:pPr>
      <w:r w:rsidRPr="00765129">
        <w:rPr>
          <w:rFonts w:ascii="Arial" w:hAnsi="Arial" w:cs="Arial"/>
          <w:b/>
          <w:bCs/>
          <w:color w:val="000000"/>
          <w:sz w:val="20"/>
          <w:szCs w:val="20"/>
        </w:rPr>
        <w:t>Percentage of staff under each grade</w:t>
      </w:r>
    </w:p>
    <w:tbl>
      <w:tblPr>
        <w:tblW w:w="12901" w:type="dxa"/>
        <w:tblLook w:val="04A0" w:firstRow="1" w:lastRow="0" w:firstColumn="1" w:lastColumn="0" w:noHBand="0" w:noVBand="1"/>
      </w:tblPr>
      <w:tblGrid>
        <w:gridCol w:w="2565"/>
        <w:gridCol w:w="927"/>
        <w:gridCol w:w="928"/>
        <w:gridCol w:w="940"/>
        <w:gridCol w:w="920"/>
        <w:gridCol w:w="940"/>
        <w:gridCol w:w="960"/>
        <w:gridCol w:w="880"/>
        <w:gridCol w:w="860"/>
        <w:gridCol w:w="820"/>
        <w:gridCol w:w="900"/>
        <w:gridCol w:w="1261"/>
      </w:tblGrid>
      <w:tr w:rsidR="00CC7802" w:rsidRPr="00CC7802" w:rsidTr="00CC7802">
        <w:trPr>
          <w:trHeight w:val="525"/>
        </w:trPr>
        <w:tc>
          <w:tcPr>
            <w:tcW w:w="256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92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1</w:t>
            </w:r>
          </w:p>
        </w:tc>
        <w:tc>
          <w:tcPr>
            <w:tcW w:w="92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2</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3</w:t>
            </w:r>
          </w:p>
        </w:tc>
        <w:tc>
          <w:tcPr>
            <w:tcW w:w="9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4</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6</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7</w:t>
            </w:r>
          </w:p>
        </w:tc>
        <w:tc>
          <w:tcPr>
            <w:tcW w:w="8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8</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9</w:t>
            </w:r>
          </w:p>
        </w:tc>
        <w:tc>
          <w:tcPr>
            <w:tcW w:w="9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Grade 11</w:t>
            </w:r>
          </w:p>
        </w:tc>
        <w:tc>
          <w:tcPr>
            <w:tcW w:w="1261"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Mod Apprentice</w:t>
            </w:r>
          </w:p>
        </w:tc>
      </w:tr>
      <w:tr w:rsidR="00474CEB" w:rsidRPr="00765129" w:rsidTr="00474CEB">
        <w:trPr>
          <w:trHeight w:val="270"/>
        </w:trPr>
        <w:tc>
          <w:tcPr>
            <w:tcW w:w="2565"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Facilities Management</w:t>
            </w:r>
          </w:p>
        </w:tc>
        <w:tc>
          <w:tcPr>
            <w:tcW w:w="927"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38.7%</w:t>
            </w:r>
          </w:p>
        </w:tc>
        <w:tc>
          <w:tcPr>
            <w:tcW w:w="928"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50.8%</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5.5%</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3.4%</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0.6%</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0.8%</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0.2%</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r>
      <w:tr w:rsidR="00474CEB" w:rsidRPr="00765129" w:rsidTr="00474CEB">
        <w:trPr>
          <w:trHeight w:val="270"/>
        </w:trPr>
        <w:tc>
          <w:tcPr>
            <w:tcW w:w="2565"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Fleet &amp; Waste Services</w:t>
            </w:r>
          </w:p>
        </w:tc>
        <w:tc>
          <w:tcPr>
            <w:tcW w:w="927"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28"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31.0%</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23.9%</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28.3%</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11.5%</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1.8%</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1.8%</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0.9%</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0.9%</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r>
      <w:tr w:rsidR="00474CEB" w:rsidRPr="00765129" w:rsidTr="00474CEB">
        <w:trPr>
          <w:trHeight w:val="270"/>
        </w:trPr>
        <w:tc>
          <w:tcPr>
            <w:tcW w:w="2565"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Greenspace</w:t>
            </w:r>
          </w:p>
        </w:tc>
        <w:tc>
          <w:tcPr>
            <w:tcW w:w="927"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28"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4.7%</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26.5%</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24.6%</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27.0%</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4.7%</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2.4%</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0.5%</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9.5%</w:t>
            </w:r>
          </w:p>
        </w:tc>
      </w:tr>
      <w:tr w:rsidR="00474CEB" w:rsidRPr="00765129" w:rsidTr="00474CEB">
        <w:trPr>
          <w:trHeight w:val="270"/>
        </w:trPr>
        <w:tc>
          <w:tcPr>
            <w:tcW w:w="2565"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Roads &amp; Transportation</w:t>
            </w:r>
          </w:p>
        </w:tc>
        <w:tc>
          <w:tcPr>
            <w:tcW w:w="927"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28"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43.2%</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9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w:t>
            </w:r>
          </w:p>
        </w:tc>
        <w:tc>
          <w:tcPr>
            <w:tcW w:w="94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26.3%</w:t>
            </w:r>
          </w:p>
        </w:tc>
        <w:tc>
          <w:tcPr>
            <w:tcW w:w="9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15.8%</w:t>
            </w:r>
          </w:p>
        </w:tc>
        <w:tc>
          <w:tcPr>
            <w:tcW w:w="88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7.4%</w:t>
            </w:r>
          </w:p>
        </w:tc>
        <w:tc>
          <w:tcPr>
            <w:tcW w:w="86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2.1%</w:t>
            </w:r>
          </w:p>
        </w:tc>
        <w:tc>
          <w:tcPr>
            <w:tcW w:w="82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2.1%</w:t>
            </w:r>
          </w:p>
        </w:tc>
        <w:tc>
          <w:tcPr>
            <w:tcW w:w="900"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w:t>
            </w:r>
          </w:p>
        </w:tc>
        <w:tc>
          <w:tcPr>
            <w:tcW w:w="1261"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w:t>
            </w:r>
          </w:p>
        </w:tc>
      </w:tr>
      <w:tr w:rsidR="00CC7802" w:rsidRPr="00CC7802" w:rsidTr="00CC7802">
        <w:trPr>
          <w:trHeight w:val="270"/>
        </w:trPr>
        <w:tc>
          <w:tcPr>
            <w:tcW w:w="2565"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xml:space="preserve"> Total</w:t>
            </w:r>
          </w:p>
        </w:tc>
        <w:tc>
          <w:tcPr>
            <w:tcW w:w="927"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21.5%</w:t>
            </w:r>
          </w:p>
        </w:tc>
        <w:tc>
          <w:tcPr>
            <w:tcW w:w="928"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5.4%</w:t>
            </w:r>
          </w:p>
        </w:tc>
        <w:tc>
          <w:tcPr>
            <w:tcW w:w="94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37.9%</w:t>
            </w:r>
          </w:p>
        </w:tc>
        <w:tc>
          <w:tcPr>
            <w:tcW w:w="92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11.6%</w:t>
            </w:r>
          </w:p>
        </w:tc>
        <w:tc>
          <w:tcPr>
            <w:tcW w:w="94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14.0%</w:t>
            </w:r>
          </w:p>
        </w:tc>
        <w:tc>
          <w:tcPr>
            <w:tcW w:w="96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4.3%</w:t>
            </w:r>
          </w:p>
        </w:tc>
        <w:tc>
          <w:tcPr>
            <w:tcW w:w="88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1.0%</w:t>
            </w:r>
          </w:p>
        </w:tc>
        <w:tc>
          <w:tcPr>
            <w:tcW w:w="86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1.4%</w:t>
            </w:r>
          </w:p>
        </w:tc>
        <w:tc>
          <w:tcPr>
            <w:tcW w:w="82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0.3%</w:t>
            </w:r>
          </w:p>
        </w:tc>
        <w:tc>
          <w:tcPr>
            <w:tcW w:w="900"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0.4%</w:t>
            </w:r>
          </w:p>
        </w:tc>
        <w:tc>
          <w:tcPr>
            <w:tcW w:w="1261" w:type="dxa"/>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2.2%</w:t>
            </w:r>
          </w:p>
        </w:tc>
      </w:tr>
    </w:tbl>
    <w:p w:rsidR="00474CEB" w:rsidRDefault="00474CEB" w:rsidP="00474CEB">
      <w:pPr>
        <w:spacing w:before="100" w:beforeAutospacing="1" w:after="0" w:line="240" w:lineRule="auto"/>
        <w:rPr>
          <w:rFonts w:ascii="Arial" w:hAnsi="Arial" w:cs="Arial"/>
          <w:b/>
          <w:bCs/>
          <w:color w:val="000000"/>
        </w:rPr>
      </w:pPr>
      <w:r>
        <w:rPr>
          <w:noProof/>
          <w:lang w:val="en-GB" w:eastAsia="en-GB"/>
        </w:rPr>
        <w:lastRenderedPageBreak/>
        <w:drawing>
          <wp:inline distT="0" distB="0" distL="0" distR="0" wp14:anchorId="32E8A66F" wp14:editId="2245AC0B">
            <wp:extent cx="3925570" cy="2295525"/>
            <wp:effectExtent l="0" t="0" r="17780" b="95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en-GB" w:eastAsia="en-GB"/>
        </w:rPr>
        <w:drawing>
          <wp:inline distT="0" distB="0" distL="0" distR="0" wp14:anchorId="65E5F2EB" wp14:editId="41A501CE">
            <wp:extent cx="3812540" cy="2298065"/>
            <wp:effectExtent l="0" t="0" r="16510" b="2603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4CEB" w:rsidRDefault="00474CEB" w:rsidP="00474CEB">
      <w:pPr>
        <w:spacing w:before="100" w:beforeAutospacing="1" w:after="0" w:line="240" w:lineRule="auto"/>
        <w:rPr>
          <w:rFonts w:ascii="Arial" w:hAnsi="Arial" w:cs="Arial"/>
          <w:b/>
          <w:bCs/>
          <w:color w:val="000000"/>
        </w:rPr>
      </w:pPr>
    </w:p>
    <w:p w:rsidR="00BA11CF" w:rsidRDefault="00BA11CF">
      <w:pPr>
        <w:spacing w:after="0" w:line="240" w:lineRule="auto"/>
        <w:rPr>
          <w:rFonts w:ascii="Arial" w:hAnsi="Arial" w:cs="Arial"/>
          <w:b/>
          <w:color w:val="000000"/>
        </w:rPr>
      </w:pPr>
      <w:r>
        <w:rPr>
          <w:rFonts w:ascii="Arial" w:hAnsi="Arial" w:cs="Arial"/>
          <w:b/>
          <w:color w:val="000000"/>
        </w:rPr>
        <w:br w:type="page"/>
      </w:r>
    </w:p>
    <w:p w:rsidR="00474CEB" w:rsidRPr="00D907ED" w:rsidRDefault="00474CEB" w:rsidP="0019210F">
      <w:pPr>
        <w:numPr>
          <w:ilvl w:val="0"/>
          <w:numId w:val="11"/>
        </w:numPr>
        <w:tabs>
          <w:tab w:val="left" w:pos="-108"/>
        </w:tabs>
        <w:spacing w:before="100" w:beforeAutospacing="1" w:after="0" w:line="240" w:lineRule="auto"/>
        <w:rPr>
          <w:rFonts w:ascii="Arial" w:hAnsi="Arial" w:cs="Arial"/>
          <w:b/>
          <w:color w:val="000000"/>
        </w:rPr>
      </w:pPr>
      <w:r w:rsidRPr="00D907ED">
        <w:rPr>
          <w:rFonts w:ascii="Arial" w:hAnsi="Arial" w:cs="Arial"/>
          <w:b/>
          <w:color w:val="000000"/>
        </w:rPr>
        <w:lastRenderedPageBreak/>
        <w:t>Gender Profile</w:t>
      </w:r>
    </w:p>
    <w:tbl>
      <w:tblPr>
        <w:tblW w:w="4048" w:type="pct"/>
        <w:tblLook w:val="04A0" w:firstRow="1" w:lastRow="0" w:firstColumn="1" w:lastColumn="0" w:noHBand="0" w:noVBand="1"/>
      </w:tblPr>
      <w:tblGrid>
        <w:gridCol w:w="3828"/>
        <w:gridCol w:w="1914"/>
        <w:gridCol w:w="1914"/>
        <w:gridCol w:w="1914"/>
        <w:gridCol w:w="1905"/>
      </w:tblGrid>
      <w:tr w:rsidR="00CC7802" w:rsidRPr="00CC7802" w:rsidTr="00CC7802">
        <w:trPr>
          <w:trHeight w:val="270"/>
        </w:trPr>
        <w:tc>
          <w:tcPr>
            <w:tcW w:w="1668" w:type="pct"/>
            <w:tcBorders>
              <w:top w:val="nil"/>
              <w:left w:val="nil"/>
              <w:bottom w:val="nil"/>
              <w:right w:val="nil"/>
            </w:tcBorders>
            <w:shd w:val="clear" w:color="auto" w:fill="FFFFFF" w:themeFill="background1"/>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p>
        </w:tc>
        <w:tc>
          <w:tcPr>
            <w:tcW w:w="1667" w:type="pct"/>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Female</w:t>
            </w:r>
          </w:p>
        </w:tc>
        <w:tc>
          <w:tcPr>
            <w:tcW w:w="1665" w:type="pct"/>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Male</w:t>
            </w:r>
          </w:p>
        </w:tc>
      </w:tr>
      <w:tr w:rsidR="00CC7802" w:rsidRPr="00CC7802" w:rsidTr="00CC7802">
        <w:trPr>
          <w:trHeight w:val="270"/>
        </w:trPr>
        <w:tc>
          <w:tcPr>
            <w:tcW w:w="166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834"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Headcount</w:t>
            </w:r>
          </w:p>
        </w:tc>
        <w:tc>
          <w:tcPr>
            <w:tcW w:w="834"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Percentage</w:t>
            </w:r>
          </w:p>
        </w:tc>
        <w:tc>
          <w:tcPr>
            <w:tcW w:w="834"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Headcount</w:t>
            </w:r>
          </w:p>
        </w:tc>
        <w:tc>
          <w:tcPr>
            <w:tcW w:w="831"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Percentage</w:t>
            </w:r>
          </w:p>
        </w:tc>
      </w:tr>
      <w:tr w:rsidR="00474CEB" w:rsidRPr="00765129" w:rsidTr="00505FA1">
        <w:trPr>
          <w:trHeight w:val="270"/>
        </w:trPr>
        <w:tc>
          <w:tcPr>
            <w:tcW w:w="1668" w:type="pct"/>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Facilities Management</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452</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86.4%</w:t>
            </w:r>
          </w:p>
        </w:tc>
        <w:tc>
          <w:tcPr>
            <w:tcW w:w="834"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72</w:t>
            </w:r>
          </w:p>
        </w:tc>
        <w:tc>
          <w:tcPr>
            <w:tcW w:w="831"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13.8%</w:t>
            </w:r>
          </w:p>
        </w:tc>
      </w:tr>
      <w:tr w:rsidR="00474CEB" w:rsidRPr="00765129" w:rsidTr="00505FA1">
        <w:trPr>
          <w:trHeight w:val="270"/>
        </w:trPr>
        <w:tc>
          <w:tcPr>
            <w:tcW w:w="1668" w:type="pct"/>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Fleet &amp; Waste Services</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2.7%</w:t>
            </w:r>
          </w:p>
        </w:tc>
        <w:tc>
          <w:tcPr>
            <w:tcW w:w="834"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110</w:t>
            </w:r>
          </w:p>
        </w:tc>
        <w:tc>
          <w:tcPr>
            <w:tcW w:w="831"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98.2%</w:t>
            </w:r>
          </w:p>
        </w:tc>
      </w:tr>
      <w:tr w:rsidR="00474CEB" w:rsidRPr="00765129" w:rsidTr="00505FA1">
        <w:trPr>
          <w:trHeight w:val="270"/>
        </w:trPr>
        <w:tc>
          <w:tcPr>
            <w:tcW w:w="1668" w:type="pct"/>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Greenspace</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10</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4.7%</w:t>
            </w:r>
          </w:p>
        </w:tc>
        <w:tc>
          <w:tcPr>
            <w:tcW w:w="834"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201</w:t>
            </w:r>
          </w:p>
        </w:tc>
        <w:tc>
          <w:tcPr>
            <w:tcW w:w="831"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95.3%</w:t>
            </w:r>
          </w:p>
        </w:tc>
      </w:tr>
      <w:tr w:rsidR="00474CEB" w:rsidRPr="00765129" w:rsidTr="00505FA1">
        <w:trPr>
          <w:trHeight w:val="270"/>
        </w:trPr>
        <w:tc>
          <w:tcPr>
            <w:tcW w:w="1668" w:type="pct"/>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Roads &amp; Transportation</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29</w:t>
            </w:r>
          </w:p>
        </w:tc>
        <w:tc>
          <w:tcPr>
            <w:tcW w:w="834" w:type="pct"/>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30.5%</w:t>
            </w:r>
          </w:p>
        </w:tc>
        <w:tc>
          <w:tcPr>
            <w:tcW w:w="834"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66</w:t>
            </w:r>
          </w:p>
        </w:tc>
        <w:tc>
          <w:tcPr>
            <w:tcW w:w="831" w:type="pct"/>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69.5%</w:t>
            </w:r>
          </w:p>
        </w:tc>
      </w:tr>
      <w:tr w:rsidR="00CC7802" w:rsidRPr="00CC7802" w:rsidTr="00CC7802">
        <w:trPr>
          <w:trHeight w:val="270"/>
        </w:trPr>
        <w:tc>
          <w:tcPr>
            <w:tcW w:w="1668"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834"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494</w:t>
            </w:r>
          </w:p>
        </w:tc>
        <w:tc>
          <w:tcPr>
            <w:tcW w:w="834"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52.3%</w:t>
            </w:r>
          </w:p>
        </w:tc>
        <w:tc>
          <w:tcPr>
            <w:tcW w:w="834" w:type="pct"/>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449</w:t>
            </w:r>
          </w:p>
        </w:tc>
        <w:tc>
          <w:tcPr>
            <w:tcW w:w="831" w:type="pct"/>
            <w:tcBorders>
              <w:top w:val="nil"/>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47.7%</w:t>
            </w:r>
          </w:p>
        </w:tc>
      </w:tr>
    </w:tbl>
    <w:p w:rsidR="00474CEB" w:rsidRDefault="00474CEB" w:rsidP="00474CEB">
      <w:pPr>
        <w:spacing w:before="100" w:beforeAutospacing="1" w:after="0" w:line="240" w:lineRule="auto"/>
        <w:rPr>
          <w:rFonts w:ascii="Arial" w:hAnsi="Arial" w:cs="Arial"/>
        </w:rPr>
      </w:pPr>
      <w:r w:rsidRPr="002802F0">
        <w:rPr>
          <w:rFonts w:ascii="Arial" w:hAnsi="Arial" w:cs="Arial"/>
        </w:rPr>
        <w:t>52.3% of staff employed within Environment and Neighbourhood are female and 47.7% male however there are significant differences in these percentages when broken down by specific service areas.  Facilities Management is predominantly female whilst Fleet and Waste, Greenspace and Roads and Transportation are predominantly male.  There is no significant diff</w:t>
      </w:r>
      <w:r>
        <w:rPr>
          <w:rFonts w:ascii="Arial" w:hAnsi="Arial" w:cs="Arial"/>
        </w:rPr>
        <w:t>erence when compared with the previous year (2015-16).</w:t>
      </w:r>
    </w:p>
    <w:p w:rsidR="00474CEB" w:rsidRDefault="00474CEB" w:rsidP="00474CEB">
      <w:pPr>
        <w:spacing w:before="100" w:beforeAutospacing="1" w:after="0" w:line="240" w:lineRule="auto"/>
        <w:rPr>
          <w:noProof/>
        </w:rPr>
      </w:pPr>
      <w:r>
        <w:rPr>
          <w:noProof/>
          <w:lang w:val="en-GB" w:eastAsia="en-GB"/>
        </w:rPr>
        <w:drawing>
          <wp:inline distT="0" distB="0" distL="0" distR="0" wp14:anchorId="72430CE8" wp14:editId="11530EA7">
            <wp:extent cx="4488873" cy="2208810"/>
            <wp:effectExtent l="0" t="0" r="26035" b="2032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4CEB" w:rsidRPr="00765129" w:rsidRDefault="00474CEB" w:rsidP="00474CEB">
      <w:pPr>
        <w:spacing w:before="100" w:beforeAutospacing="1" w:after="0" w:line="240" w:lineRule="auto"/>
        <w:rPr>
          <w:b/>
          <w:noProof/>
        </w:rPr>
      </w:pPr>
    </w:p>
    <w:p w:rsidR="00BA11CF" w:rsidRDefault="00BA11CF">
      <w:pPr>
        <w:spacing w:after="0" w:line="240" w:lineRule="auto"/>
        <w:rPr>
          <w:rFonts w:ascii="Arial" w:hAnsi="Arial" w:cs="Arial"/>
          <w:b/>
          <w:bCs/>
          <w:color w:val="000000"/>
        </w:rPr>
      </w:pPr>
      <w:r>
        <w:rPr>
          <w:rFonts w:ascii="Arial" w:hAnsi="Arial" w:cs="Arial"/>
          <w:b/>
          <w:bCs/>
          <w:color w:val="000000"/>
        </w:rPr>
        <w:br w:type="page"/>
      </w:r>
    </w:p>
    <w:p w:rsidR="00474CEB" w:rsidRPr="00BA11CF" w:rsidRDefault="00474CEB" w:rsidP="0019210F">
      <w:pPr>
        <w:numPr>
          <w:ilvl w:val="0"/>
          <w:numId w:val="11"/>
        </w:numPr>
        <w:spacing w:before="100" w:beforeAutospacing="1" w:after="0" w:line="240" w:lineRule="auto"/>
        <w:rPr>
          <w:rFonts w:ascii="Arial" w:hAnsi="Arial" w:cs="Arial"/>
          <w:b/>
          <w:color w:val="000000"/>
        </w:rPr>
      </w:pPr>
      <w:r w:rsidRPr="00765129">
        <w:rPr>
          <w:rFonts w:ascii="Arial" w:hAnsi="Arial" w:cs="Arial"/>
          <w:b/>
          <w:bCs/>
          <w:color w:val="000000"/>
        </w:rPr>
        <w:lastRenderedPageBreak/>
        <w:t>Age Profile</w:t>
      </w:r>
    </w:p>
    <w:p w:rsidR="00BA11CF" w:rsidRPr="00BA11CF" w:rsidRDefault="00BA11CF" w:rsidP="00BA11CF">
      <w:pPr>
        <w:spacing w:before="100" w:beforeAutospacing="1" w:after="0" w:line="240" w:lineRule="auto"/>
        <w:rPr>
          <w:rFonts w:ascii="Arial" w:hAnsi="Arial" w:cs="Arial"/>
          <w:b/>
          <w:color w:val="000000"/>
          <w:sz w:val="2"/>
          <w:szCs w:val="2"/>
        </w:rPr>
      </w:pPr>
    </w:p>
    <w:tbl>
      <w:tblPr>
        <w:tblW w:w="14296" w:type="dxa"/>
        <w:tblLayout w:type="fixed"/>
        <w:tblLook w:val="04A0" w:firstRow="1" w:lastRow="0" w:firstColumn="1" w:lastColumn="0" w:noHBand="0" w:noVBand="1"/>
      </w:tblPr>
      <w:tblGrid>
        <w:gridCol w:w="3828"/>
        <w:gridCol w:w="951"/>
        <w:gridCol w:w="13"/>
        <w:gridCol w:w="920"/>
        <w:gridCol w:w="19"/>
        <w:gridCol w:w="921"/>
        <w:gridCol w:w="30"/>
        <w:gridCol w:w="890"/>
        <w:gridCol w:w="62"/>
        <w:gridCol w:w="878"/>
        <w:gridCol w:w="74"/>
        <w:gridCol w:w="886"/>
        <w:gridCol w:w="65"/>
        <w:gridCol w:w="815"/>
        <w:gridCol w:w="137"/>
        <w:gridCol w:w="723"/>
        <w:gridCol w:w="229"/>
        <w:gridCol w:w="735"/>
        <w:gridCol w:w="216"/>
        <w:gridCol w:w="684"/>
        <w:gridCol w:w="268"/>
        <w:gridCol w:w="952"/>
      </w:tblGrid>
      <w:tr w:rsidR="00474CEB" w:rsidRPr="00765129" w:rsidTr="00505FA1">
        <w:trPr>
          <w:trHeight w:val="270"/>
        </w:trPr>
        <w:tc>
          <w:tcPr>
            <w:tcW w:w="4792" w:type="dxa"/>
            <w:gridSpan w:val="3"/>
            <w:tcBorders>
              <w:top w:val="nil"/>
              <w:left w:val="nil"/>
              <w:bottom w:val="nil"/>
              <w:right w:val="nil"/>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b/>
                <w:bCs/>
                <w:color w:val="000000"/>
                <w:sz w:val="20"/>
                <w:szCs w:val="20"/>
              </w:rPr>
            </w:pPr>
            <w:r w:rsidRPr="00765129">
              <w:rPr>
                <w:rFonts w:ascii="Arial" w:hAnsi="Arial" w:cs="Arial"/>
                <w:b/>
                <w:bCs/>
                <w:color w:val="000000"/>
                <w:sz w:val="20"/>
                <w:szCs w:val="20"/>
              </w:rPr>
              <w:t>Age Profile – Headcount</w:t>
            </w:r>
          </w:p>
        </w:tc>
        <w:tc>
          <w:tcPr>
            <w:tcW w:w="920" w:type="dxa"/>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94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94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88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86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964"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90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c>
          <w:tcPr>
            <w:tcW w:w="1220" w:type="dxa"/>
            <w:gridSpan w:val="2"/>
            <w:tcBorders>
              <w:top w:val="nil"/>
              <w:left w:val="nil"/>
              <w:bottom w:val="nil"/>
              <w:right w:val="nil"/>
            </w:tcBorders>
            <w:shd w:val="clear" w:color="auto" w:fill="auto"/>
            <w:noWrap/>
            <w:vAlign w:val="bottom"/>
            <w:hideMark/>
          </w:tcPr>
          <w:p w:rsidR="00474CEB" w:rsidRPr="00765129" w:rsidRDefault="00474CEB" w:rsidP="00474CEB">
            <w:pPr>
              <w:spacing w:before="100" w:beforeAutospacing="1" w:after="0" w:line="240" w:lineRule="auto"/>
              <w:rPr>
                <w:rFonts w:ascii="Arial" w:hAnsi="Arial" w:cs="Arial"/>
                <w:color w:val="000000"/>
                <w:sz w:val="20"/>
                <w:szCs w:val="20"/>
              </w:rPr>
            </w:pPr>
          </w:p>
        </w:tc>
      </w:tr>
      <w:tr w:rsidR="00CC7802" w:rsidRPr="00CC7802" w:rsidTr="00CC7802">
        <w:trPr>
          <w:trHeight w:val="270"/>
        </w:trPr>
        <w:tc>
          <w:tcPr>
            <w:tcW w:w="382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9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16-19</w:t>
            </w:r>
          </w:p>
        </w:tc>
        <w:tc>
          <w:tcPr>
            <w:tcW w:w="952"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20-24</w:t>
            </w:r>
          </w:p>
        </w:tc>
        <w:tc>
          <w:tcPr>
            <w:tcW w:w="951"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25-29</w:t>
            </w:r>
          </w:p>
        </w:tc>
        <w:tc>
          <w:tcPr>
            <w:tcW w:w="952"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30-34</w:t>
            </w:r>
          </w:p>
        </w:tc>
        <w:tc>
          <w:tcPr>
            <w:tcW w:w="952"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35-39</w:t>
            </w:r>
          </w:p>
        </w:tc>
        <w:tc>
          <w:tcPr>
            <w:tcW w:w="951"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40-44</w:t>
            </w:r>
          </w:p>
        </w:tc>
        <w:tc>
          <w:tcPr>
            <w:tcW w:w="95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45-49</w:t>
            </w:r>
          </w:p>
        </w:tc>
        <w:tc>
          <w:tcPr>
            <w:tcW w:w="95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50-54</w:t>
            </w:r>
          </w:p>
        </w:tc>
        <w:tc>
          <w:tcPr>
            <w:tcW w:w="951"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55-59</w:t>
            </w:r>
          </w:p>
        </w:tc>
        <w:tc>
          <w:tcPr>
            <w:tcW w:w="95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60-64</w:t>
            </w:r>
          </w:p>
        </w:tc>
        <w:tc>
          <w:tcPr>
            <w:tcW w:w="95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65+</w:t>
            </w:r>
          </w:p>
        </w:tc>
      </w:tr>
      <w:tr w:rsidR="00474CEB" w:rsidRPr="00765129" w:rsidTr="00505FA1">
        <w:trPr>
          <w:trHeight w:val="2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Facilities Management</w:t>
            </w:r>
          </w:p>
        </w:tc>
        <w:tc>
          <w:tcPr>
            <w:tcW w:w="951" w:type="dxa"/>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952" w:type="dxa"/>
            <w:gridSpan w:val="3"/>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23</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19</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39</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37</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72</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100</w:t>
            </w:r>
          </w:p>
        </w:tc>
        <w:tc>
          <w:tcPr>
            <w:tcW w:w="951"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118</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79</w:t>
            </w:r>
          </w:p>
        </w:tc>
        <w:tc>
          <w:tcPr>
            <w:tcW w:w="952"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28</w:t>
            </w:r>
          </w:p>
        </w:tc>
      </w:tr>
      <w:tr w:rsidR="00474CEB" w:rsidRPr="00765129" w:rsidTr="00505FA1">
        <w:trPr>
          <w:trHeight w:val="2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Fleet &amp; Waste Services</w:t>
            </w:r>
          </w:p>
        </w:tc>
        <w:tc>
          <w:tcPr>
            <w:tcW w:w="951" w:type="dxa"/>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952" w:type="dxa"/>
            <w:gridSpan w:val="3"/>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7</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10</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18</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17</w:t>
            </w:r>
          </w:p>
        </w:tc>
        <w:tc>
          <w:tcPr>
            <w:tcW w:w="951"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36</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16</w:t>
            </w:r>
          </w:p>
        </w:tc>
        <w:tc>
          <w:tcPr>
            <w:tcW w:w="952"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w:t>
            </w:r>
          </w:p>
        </w:tc>
      </w:tr>
      <w:tr w:rsidR="00474CEB" w:rsidRPr="00765129" w:rsidTr="00505FA1">
        <w:trPr>
          <w:trHeight w:val="2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Greenspace</w:t>
            </w:r>
          </w:p>
        </w:tc>
        <w:tc>
          <w:tcPr>
            <w:tcW w:w="951" w:type="dxa"/>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14</w:t>
            </w:r>
          </w:p>
        </w:tc>
        <w:tc>
          <w:tcPr>
            <w:tcW w:w="952" w:type="dxa"/>
            <w:gridSpan w:val="3"/>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18</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10</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16</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23</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14</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24</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31</w:t>
            </w:r>
          </w:p>
        </w:tc>
        <w:tc>
          <w:tcPr>
            <w:tcW w:w="951"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36</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16</w:t>
            </w:r>
          </w:p>
        </w:tc>
        <w:tc>
          <w:tcPr>
            <w:tcW w:w="952"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w:t>
            </w:r>
          </w:p>
        </w:tc>
      </w:tr>
      <w:tr w:rsidR="00474CEB" w:rsidRPr="00765129" w:rsidTr="00505FA1">
        <w:trPr>
          <w:trHeight w:val="2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Roads &amp; Transportation</w:t>
            </w:r>
          </w:p>
        </w:tc>
        <w:tc>
          <w:tcPr>
            <w:tcW w:w="951" w:type="dxa"/>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w:t>
            </w:r>
          </w:p>
        </w:tc>
        <w:tc>
          <w:tcPr>
            <w:tcW w:w="952" w:type="dxa"/>
            <w:gridSpan w:val="3"/>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w:t>
            </w:r>
          </w:p>
        </w:tc>
        <w:tc>
          <w:tcPr>
            <w:tcW w:w="952"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7</w:t>
            </w:r>
          </w:p>
        </w:tc>
        <w:tc>
          <w:tcPr>
            <w:tcW w:w="951" w:type="dxa"/>
            <w:gridSpan w:val="2"/>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12</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19</w:t>
            </w:r>
          </w:p>
        </w:tc>
        <w:tc>
          <w:tcPr>
            <w:tcW w:w="951"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19</w:t>
            </w:r>
          </w:p>
        </w:tc>
        <w:tc>
          <w:tcPr>
            <w:tcW w:w="952" w:type="dxa"/>
            <w:gridSpan w:val="2"/>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10</w:t>
            </w:r>
          </w:p>
        </w:tc>
        <w:tc>
          <w:tcPr>
            <w:tcW w:w="952" w:type="dxa"/>
            <w:tcBorders>
              <w:top w:val="nil"/>
              <w:left w:val="nil"/>
              <w:bottom w:val="single" w:sz="8" w:space="0" w:color="auto"/>
              <w:right w:val="single" w:sz="8" w:space="0" w:color="auto"/>
            </w:tcBorders>
            <w:shd w:val="clear" w:color="auto" w:fill="auto"/>
            <w:noWrap/>
            <w:vAlign w:val="bottom"/>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18</w:t>
            </w:r>
          </w:p>
        </w:tc>
      </w:tr>
      <w:tr w:rsidR="00CC7802" w:rsidRPr="00CC7802" w:rsidTr="00CC7802">
        <w:trPr>
          <w:trHeight w:val="525"/>
        </w:trPr>
        <w:tc>
          <w:tcPr>
            <w:tcW w:w="382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951" w:type="dxa"/>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15</w:t>
            </w:r>
          </w:p>
        </w:tc>
        <w:tc>
          <w:tcPr>
            <w:tcW w:w="952"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27</w:t>
            </w:r>
          </w:p>
        </w:tc>
        <w:tc>
          <w:tcPr>
            <w:tcW w:w="95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38</w:t>
            </w:r>
          </w:p>
        </w:tc>
        <w:tc>
          <w:tcPr>
            <w:tcW w:w="95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39</w:t>
            </w:r>
          </w:p>
        </w:tc>
        <w:tc>
          <w:tcPr>
            <w:tcW w:w="95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76</w:t>
            </w:r>
          </w:p>
        </w:tc>
        <w:tc>
          <w:tcPr>
            <w:tcW w:w="95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65</w:t>
            </w:r>
          </w:p>
        </w:tc>
        <w:tc>
          <w:tcPr>
            <w:tcW w:w="95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126</w:t>
            </w:r>
          </w:p>
        </w:tc>
        <w:tc>
          <w:tcPr>
            <w:tcW w:w="95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167</w:t>
            </w:r>
          </w:p>
        </w:tc>
        <w:tc>
          <w:tcPr>
            <w:tcW w:w="95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209</w:t>
            </w:r>
          </w:p>
        </w:tc>
        <w:tc>
          <w:tcPr>
            <w:tcW w:w="95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121</w:t>
            </w:r>
          </w:p>
        </w:tc>
        <w:tc>
          <w:tcPr>
            <w:tcW w:w="952" w:type="dxa"/>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60</w:t>
            </w:r>
          </w:p>
        </w:tc>
      </w:tr>
    </w:tbl>
    <w:p w:rsidR="00BA11CF" w:rsidRDefault="00474CEB" w:rsidP="00474CEB">
      <w:pPr>
        <w:spacing w:before="100" w:beforeAutospacing="1" w:after="0" w:line="240" w:lineRule="auto"/>
        <w:rPr>
          <w:rFonts w:ascii="Arial" w:hAnsi="Arial" w:cs="Arial"/>
        </w:rPr>
      </w:pPr>
      <w:r w:rsidRPr="002802F0">
        <w:rPr>
          <w:rFonts w:ascii="Arial" w:hAnsi="Arial" w:cs="Arial"/>
        </w:rPr>
        <w:t>The age profile within Environment and Neighbourhood services displays a number of workforce characteristics which are important in relation to our workforce planning processes.  6% are over 65, 13% are aged between 60-64, 22% between 55-59 and 18% between 50 and 54</w:t>
      </w:r>
      <w:r w:rsidR="00BA11CF">
        <w:rPr>
          <w:rFonts w:ascii="Arial" w:hAnsi="Arial" w:cs="Arial"/>
        </w:rPr>
        <w:t xml:space="preserve">, </w:t>
      </w:r>
      <w:r w:rsidRPr="002802F0">
        <w:rPr>
          <w:rFonts w:ascii="Arial" w:hAnsi="Arial" w:cs="Arial"/>
        </w:rPr>
        <w:t>therefore 59% are over 50</w:t>
      </w:r>
      <w:r w:rsidR="00BA11CF">
        <w:rPr>
          <w:rFonts w:ascii="Arial" w:hAnsi="Arial" w:cs="Arial"/>
        </w:rPr>
        <w:t>,</w:t>
      </w:r>
      <w:r w:rsidRPr="002802F0">
        <w:rPr>
          <w:rFonts w:ascii="Arial" w:hAnsi="Arial" w:cs="Arial"/>
        </w:rPr>
        <w:t xml:space="preserve"> 20% are between 40-49, </w:t>
      </w:r>
      <w:r w:rsidR="00BA11CF">
        <w:rPr>
          <w:rFonts w:ascii="Arial" w:hAnsi="Arial" w:cs="Arial"/>
        </w:rPr>
        <w:t xml:space="preserve">and </w:t>
      </w:r>
      <w:r w:rsidRPr="002802F0">
        <w:rPr>
          <w:rFonts w:ascii="Arial" w:hAnsi="Arial" w:cs="Arial"/>
        </w:rPr>
        <w:t xml:space="preserve">12% between 30-39. Only 9% of the workforce </w:t>
      </w:r>
      <w:r>
        <w:rPr>
          <w:rFonts w:ascii="Arial" w:hAnsi="Arial" w:cs="Arial"/>
        </w:rPr>
        <w:t>is</w:t>
      </w:r>
      <w:r w:rsidRPr="002802F0">
        <w:rPr>
          <w:rFonts w:ascii="Arial" w:hAnsi="Arial" w:cs="Arial"/>
        </w:rPr>
        <w:t xml:space="preserve"> below 30</w:t>
      </w:r>
      <w:r w:rsidR="00BA11CF">
        <w:rPr>
          <w:rFonts w:ascii="Arial" w:hAnsi="Arial" w:cs="Arial"/>
        </w:rPr>
        <w:t>,</w:t>
      </w:r>
      <w:r w:rsidRPr="002802F0">
        <w:rPr>
          <w:rFonts w:ascii="Arial" w:hAnsi="Arial" w:cs="Arial"/>
        </w:rPr>
        <w:t xml:space="preserve"> with the largest age band falling between 55-65 (35%) of the workforce.</w:t>
      </w:r>
    </w:p>
    <w:p w:rsidR="00474CEB" w:rsidRDefault="00474CEB" w:rsidP="00474CEB">
      <w:pPr>
        <w:spacing w:before="100" w:beforeAutospacing="1" w:after="0" w:line="240" w:lineRule="auto"/>
        <w:rPr>
          <w:rFonts w:ascii="Arial" w:hAnsi="Arial" w:cs="Arial"/>
          <w:b/>
          <w:bCs/>
          <w:color w:val="000000"/>
        </w:rPr>
      </w:pPr>
      <w:r>
        <w:rPr>
          <w:noProof/>
          <w:lang w:val="en-GB" w:eastAsia="en-GB"/>
        </w:rPr>
        <w:drawing>
          <wp:inline distT="0" distB="0" distL="0" distR="0" wp14:anchorId="3A65E593" wp14:editId="72250820">
            <wp:extent cx="6127668" cy="2529444"/>
            <wp:effectExtent l="0" t="0" r="26035" b="2349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7A89" w:rsidRDefault="00737A89">
      <w:pPr>
        <w:spacing w:after="0" w:line="240" w:lineRule="auto"/>
        <w:rPr>
          <w:rFonts w:ascii="Arial" w:hAnsi="Arial" w:cs="Arial"/>
          <w:b/>
          <w:bCs/>
          <w:color w:val="000000"/>
        </w:rPr>
      </w:pPr>
      <w:r>
        <w:rPr>
          <w:rFonts w:ascii="Arial" w:hAnsi="Arial" w:cs="Arial"/>
          <w:b/>
          <w:bCs/>
          <w:color w:val="000000"/>
        </w:rPr>
        <w:br w:type="page"/>
      </w:r>
    </w:p>
    <w:p w:rsidR="00474CEB" w:rsidRPr="00BA11CF" w:rsidRDefault="00474CEB" w:rsidP="0019210F">
      <w:pPr>
        <w:numPr>
          <w:ilvl w:val="0"/>
          <w:numId w:val="11"/>
        </w:numPr>
        <w:tabs>
          <w:tab w:val="left" w:pos="460"/>
          <w:tab w:val="left" w:pos="1103"/>
        </w:tabs>
        <w:spacing w:before="100" w:beforeAutospacing="1" w:after="0" w:line="240" w:lineRule="auto"/>
        <w:rPr>
          <w:rFonts w:ascii="Arial" w:hAnsi="Arial" w:cs="Arial"/>
          <w:b/>
          <w:bCs/>
          <w:color w:val="000000"/>
        </w:rPr>
      </w:pPr>
      <w:r w:rsidRPr="00BA11CF">
        <w:rPr>
          <w:rFonts w:ascii="Arial" w:hAnsi="Arial" w:cs="Arial"/>
          <w:b/>
          <w:color w:val="000000"/>
        </w:rPr>
        <w:lastRenderedPageBreak/>
        <w:t>Length of Service.</w:t>
      </w:r>
    </w:p>
    <w:tbl>
      <w:tblPr>
        <w:tblW w:w="11463" w:type="dxa"/>
        <w:tblLook w:val="04A0" w:firstRow="1" w:lastRow="0" w:firstColumn="1" w:lastColumn="0" w:noHBand="0" w:noVBand="1"/>
      </w:tblPr>
      <w:tblGrid>
        <w:gridCol w:w="3828"/>
        <w:gridCol w:w="1250"/>
        <w:gridCol w:w="1295"/>
        <w:gridCol w:w="1250"/>
        <w:gridCol w:w="1295"/>
        <w:gridCol w:w="1250"/>
        <w:gridCol w:w="1295"/>
      </w:tblGrid>
      <w:tr w:rsidR="00474CEB" w:rsidRPr="00765129" w:rsidTr="00CC7802">
        <w:trPr>
          <w:trHeight w:val="270"/>
        </w:trPr>
        <w:tc>
          <w:tcPr>
            <w:tcW w:w="3828" w:type="dxa"/>
            <w:tcBorders>
              <w:top w:val="nil"/>
              <w:left w:val="nil"/>
              <w:bottom w:val="nil"/>
              <w:right w:val="nil"/>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b/>
                <w:bCs/>
                <w:sz w:val="20"/>
                <w:szCs w:val="20"/>
              </w:rPr>
            </w:pPr>
          </w:p>
        </w:tc>
        <w:tc>
          <w:tcPr>
            <w:tcW w:w="254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Less than 1 year</w:t>
            </w:r>
          </w:p>
        </w:tc>
        <w:tc>
          <w:tcPr>
            <w:tcW w:w="2545"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1 to 9 years</w:t>
            </w:r>
          </w:p>
        </w:tc>
        <w:tc>
          <w:tcPr>
            <w:tcW w:w="2545"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10 or more years</w:t>
            </w:r>
          </w:p>
        </w:tc>
      </w:tr>
      <w:tr w:rsidR="00CC7802" w:rsidRPr="00CC7802" w:rsidTr="00CC7802">
        <w:trPr>
          <w:trHeight w:val="270"/>
        </w:trPr>
        <w:tc>
          <w:tcPr>
            <w:tcW w:w="3828"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125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Headcount</w:t>
            </w:r>
          </w:p>
        </w:tc>
        <w:tc>
          <w:tcPr>
            <w:tcW w:w="1295"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Percentage</w:t>
            </w:r>
          </w:p>
        </w:tc>
        <w:tc>
          <w:tcPr>
            <w:tcW w:w="1250"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Headcount</w:t>
            </w:r>
          </w:p>
        </w:tc>
        <w:tc>
          <w:tcPr>
            <w:tcW w:w="1295"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Percentage</w:t>
            </w:r>
          </w:p>
        </w:tc>
        <w:tc>
          <w:tcPr>
            <w:tcW w:w="1250"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Headcount</w:t>
            </w:r>
          </w:p>
        </w:tc>
        <w:tc>
          <w:tcPr>
            <w:tcW w:w="1295"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Percentage</w:t>
            </w:r>
          </w:p>
        </w:tc>
      </w:tr>
      <w:tr w:rsidR="00474CEB" w:rsidRPr="00765129" w:rsidTr="00CC7802">
        <w:trPr>
          <w:trHeight w:val="270"/>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Facilities Management</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29</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5.5%</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173</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33.0%</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322</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61.5%</w:t>
            </w:r>
          </w:p>
        </w:tc>
      </w:tr>
      <w:tr w:rsidR="00474CEB" w:rsidRPr="00765129" w:rsidTr="00CC7802">
        <w:trPr>
          <w:trHeight w:val="270"/>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Fleet &amp; Waste Services</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0.0%</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24</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21.2%</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89</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78.8%</w:t>
            </w:r>
          </w:p>
        </w:tc>
      </w:tr>
      <w:tr w:rsidR="00474CEB" w:rsidRPr="00765129" w:rsidTr="00CC7802">
        <w:trPr>
          <w:trHeight w:val="87"/>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Greenspace</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30</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14.2%</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58</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27.5%</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123</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58.3%</w:t>
            </w:r>
          </w:p>
        </w:tc>
      </w:tr>
      <w:tr w:rsidR="00474CEB" w:rsidRPr="00765129" w:rsidTr="00CC7802">
        <w:trPr>
          <w:trHeight w:val="270"/>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Roads &amp; Transportation</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5.3%</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27</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28.4%</w:t>
            </w:r>
          </w:p>
        </w:tc>
        <w:tc>
          <w:tcPr>
            <w:tcW w:w="1250"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63</w:t>
            </w:r>
          </w:p>
        </w:tc>
        <w:tc>
          <w:tcPr>
            <w:tcW w:w="1295" w:type="dxa"/>
            <w:tcBorders>
              <w:top w:val="nil"/>
              <w:left w:val="nil"/>
              <w:bottom w:val="single" w:sz="8" w:space="0" w:color="auto"/>
              <w:right w:val="single" w:sz="8" w:space="0" w:color="auto"/>
            </w:tcBorders>
            <w:shd w:val="clear" w:color="auto" w:fill="auto"/>
            <w:noWrap/>
            <w:vAlign w:val="center"/>
            <w:hideMark/>
          </w:tcPr>
          <w:p w:rsidR="00474CEB" w:rsidRPr="00765129" w:rsidRDefault="00474CEB" w:rsidP="00474CEB">
            <w:pPr>
              <w:spacing w:before="100" w:beforeAutospacing="1" w:after="0" w:line="240" w:lineRule="auto"/>
              <w:jc w:val="right"/>
              <w:rPr>
                <w:rFonts w:ascii="Arial" w:hAnsi="Arial" w:cs="Arial"/>
                <w:sz w:val="20"/>
                <w:szCs w:val="20"/>
              </w:rPr>
            </w:pPr>
            <w:r w:rsidRPr="00765129">
              <w:rPr>
                <w:rFonts w:ascii="Arial" w:hAnsi="Arial" w:cs="Arial"/>
                <w:sz w:val="20"/>
                <w:szCs w:val="20"/>
              </w:rPr>
              <w:t>66.3%</w:t>
            </w:r>
          </w:p>
        </w:tc>
      </w:tr>
      <w:tr w:rsidR="00CC7802" w:rsidRPr="00CC7802" w:rsidTr="00CC7802">
        <w:trPr>
          <w:trHeight w:val="270"/>
        </w:trPr>
        <w:tc>
          <w:tcPr>
            <w:tcW w:w="3828"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1250"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64</w:t>
            </w:r>
          </w:p>
        </w:tc>
        <w:tc>
          <w:tcPr>
            <w:tcW w:w="1295"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6.8%</w:t>
            </w:r>
          </w:p>
        </w:tc>
        <w:tc>
          <w:tcPr>
            <w:tcW w:w="1250"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282</w:t>
            </w:r>
          </w:p>
        </w:tc>
        <w:tc>
          <w:tcPr>
            <w:tcW w:w="1295"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29.9%</w:t>
            </w:r>
          </w:p>
        </w:tc>
        <w:tc>
          <w:tcPr>
            <w:tcW w:w="1250"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597</w:t>
            </w:r>
          </w:p>
        </w:tc>
        <w:tc>
          <w:tcPr>
            <w:tcW w:w="1295" w:type="dxa"/>
            <w:tcBorders>
              <w:top w:val="nil"/>
              <w:left w:val="nil"/>
              <w:bottom w:val="single" w:sz="8" w:space="0" w:color="auto"/>
              <w:right w:val="single" w:sz="8" w:space="0" w:color="auto"/>
            </w:tcBorders>
            <w:shd w:val="clear" w:color="auto" w:fill="D9D9D9" w:themeFill="background1" w:themeFillShade="D9"/>
            <w:noWrap/>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63.3%</w:t>
            </w:r>
          </w:p>
        </w:tc>
      </w:tr>
    </w:tbl>
    <w:p w:rsidR="00474CEB" w:rsidRDefault="00474CEB" w:rsidP="00474CEB">
      <w:pPr>
        <w:spacing w:before="100" w:beforeAutospacing="1" w:after="0" w:line="240" w:lineRule="auto"/>
        <w:rPr>
          <w:rFonts w:ascii="Arial" w:hAnsi="Arial" w:cs="Arial"/>
          <w:b/>
          <w:bCs/>
          <w:color w:val="000000"/>
        </w:rPr>
      </w:pPr>
      <w:r>
        <w:rPr>
          <w:rFonts w:ascii="Arial" w:hAnsi="Arial" w:cs="Arial"/>
          <w:color w:val="000000"/>
        </w:rPr>
        <w:t>As with most Council services the highest proportion of staff (63.3%) have service that exceeds 10 years.</w:t>
      </w:r>
    </w:p>
    <w:p w:rsidR="00474CEB" w:rsidRDefault="00474CEB" w:rsidP="00474CEB">
      <w:pPr>
        <w:spacing w:before="100" w:beforeAutospacing="1" w:after="0" w:line="240" w:lineRule="auto"/>
        <w:rPr>
          <w:rFonts w:ascii="Arial" w:hAnsi="Arial" w:cs="Arial"/>
          <w:b/>
          <w:bCs/>
          <w:color w:val="000000"/>
        </w:rPr>
      </w:pPr>
      <w:r>
        <w:rPr>
          <w:noProof/>
          <w:lang w:val="en-GB" w:eastAsia="en-GB"/>
        </w:rPr>
        <w:drawing>
          <wp:inline distT="0" distB="0" distL="0" distR="0" wp14:anchorId="11B597A8" wp14:editId="7E87CE63">
            <wp:extent cx="4533900" cy="2703195"/>
            <wp:effectExtent l="0" t="0" r="19050" b="2095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4CEB" w:rsidRPr="002802F0" w:rsidRDefault="00474CEB" w:rsidP="00474CEB">
      <w:pPr>
        <w:spacing w:before="100" w:beforeAutospacing="1" w:after="0" w:line="240" w:lineRule="auto"/>
        <w:rPr>
          <w:rFonts w:ascii="Arial" w:hAnsi="Arial" w:cs="Arial"/>
          <w:noProof/>
        </w:rPr>
      </w:pPr>
    </w:p>
    <w:p w:rsidR="00BA11CF" w:rsidRDefault="00BA11CF">
      <w:pPr>
        <w:spacing w:after="0" w:line="240" w:lineRule="auto"/>
        <w:rPr>
          <w:rFonts w:ascii="Arial" w:hAnsi="Arial" w:cs="Arial"/>
          <w:b/>
        </w:rPr>
      </w:pPr>
      <w:r>
        <w:rPr>
          <w:rFonts w:ascii="Arial" w:hAnsi="Arial" w:cs="Arial"/>
          <w:b/>
        </w:rPr>
        <w:br w:type="page"/>
      </w:r>
    </w:p>
    <w:p w:rsidR="00474CEB" w:rsidRPr="007C3C3A" w:rsidRDefault="00474CEB" w:rsidP="0019210F">
      <w:pPr>
        <w:numPr>
          <w:ilvl w:val="0"/>
          <w:numId w:val="11"/>
        </w:numPr>
        <w:spacing w:before="100" w:beforeAutospacing="1" w:after="0" w:line="240" w:lineRule="auto"/>
        <w:rPr>
          <w:rFonts w:ascii="Arial" w:hAnsi="Arial" w:cs="Arial"/>
          <w:b/>
          <w:color w:val="FF0000"/>
        </w:rPr>
      </w:pPr>
      <w:r w:rsidRPr="007C3C3A">
        <w:rPr>
          <w:rFonts w:ascii="Arial" w:hAnsi="Arial" w:cs="Arial"/>
          <w:b/>
        </w:rPr>
        <w:lastRenderedPageBreak/>
        <w:t>New Start Employees</w:t>
      </w:r>
    </w:p>
    <w:tbl>
      <w:tblPr>
        <w:tblW w:w="2811" w:type="pct"/>
        <w:tblLook w:val="04A0" w:firstRow="1" w:lastRow="0" w:firstColumn="1" w:lastColumn="0" w:noHBand="0" w:noVBand="1"/>
      </w:tblPr>
      <w:tblGrid>
        <w:gridCol w:w="3830"/>
        <w:gridCol w:w="1379"/>
        <w:gridCol w:w="1380"/>
        <w:gridCol w:w="1380"/>
      </w:tblGrid>
      <w:tr w:rsidR="00CC7802" w:rsidRPr="00CC7802" w:rsidTr="00CC7802">
        <w:trPr>
          <w:trHeight w:val="525"/>
        </w:trPr>
        <w:tc>
          <w:tcPr>
            <w:tcW w:w="2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8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Apprentice</w:t>
            </w:r>
          </w:p>
        </w:tc>
        <w:tc>
          <w:tcPr>
            <w:tcW w:w="86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Fixed-Term</w:t>
            </w:r>
          </w:p>
        </w:tc>
        <w:tc>
          <w:tcPr>
            <w:tcW w:w="86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Permanent</w:t>
            </w:r>
          </w:p>
        </w:tc>
      </w:tr>
      <w:tr w:rsidR="00474CEB" w:rsidRPr="00765129" w:rsidTr="00505FA1">
        <w:trPr>
          <w:trHeight w:val="270"/>
        </w:trPr>
        <w:tc>
          <w:tcPr>
            <w:tcW w:w="2403"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Facilities Management</w:t>
            </w:r>
          </w:p>
        </w:tc>
        <w:tc>
          <w:tcPr>
            <w:tcW w:w="865"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27</w:t>
            </w:r>
          </w:p>
        </w:tc>
      </w:tr>
      <w:tr w:rsidR="00474CEB" w:rsidRPr="00765129" w:rsidTr="00505FA1">
        <w:trPr>
          <w:trHeight w:val="270"/>
        </w:trPr>
        <w:tc>
          <w:tcPr>
            <w:tcW w:w="2403"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Fleet &amp; Waste Services</w:t>
            </w:r>
          </w:p>
        </w:tc>
        <w:tc>
          <w:tcPr>
            <w:tcW w:w="865"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r>
      <w:tr w:rsidR="00474CEB" w:rsidRPr="00765129" w:rsidTr="00505FA1">
        <w:trPr>
          <w:trHeight w:val="270"/>
        </w:trPr>
        <w:tc>
          <w:tcPr>
            <w:tcW w:w="2403"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Greenspace</w:t>
            </w:r>
          </w:p>
        </w:tc>
        <w:tc>
          <w:tcPr>
            <w:tcW w:w="865"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15</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15</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r>
      <w:tr w:rsidR="00474CEB" w:rsidRPr="00765129" w:rsidTr="00505FA1">
        <w:trPr>
          <w:trHeight w:val="270"/>
        </w:trPr>
        <w:tc>
          <w:tcPr>
            <w:tcW w:w="2403"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Roads &amp; Transportation</w:t>
            </w:r>
          </w:p>
        </w:tc>
        <w:tc>
          <w:tcPr>
            <w:tcW w:w="865"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0</w:t>
            </w:r>
          </w:p>
        </w:tc>
        <w:tc>
          <w:tcPr>
            <w:tcW w:w="86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4</w:t>
            </w:r>
          </w:p>
        </w:tc>
      </w:tr>
      <w:tr w:rsidR="00CC7802" w:rsidRPr="00CC7802" w:rsidTr="00CC7802">
        <w:trPr>
          <w:trHeight w:val="525"/>
        </w:trPr>
        <w:tc>
          <w:tcPr>
            <w:tcW w:w="240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865"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16</w:t>
            </w:r>
          </w:p>
        </w:tc>
        <w:tc>
          <w:tcPr>
            <w:tcW w:w="86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17</w:t>
            </w:r>
          </w:p>
        </w:tc>
        <w:tc>
          <w:tcPr>
            <w:tcW w:w="86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31</w:t>
            </w:r>
          </w:p>
        </w:tc>
      </w:tr>
    </w:tbl>
    <w:p w:rsidR="00474CEB" w:rsidRPr="00D907ED" w:rsidRDefault="00474CEB" w:rsidP="00474CEB">
      <w:pPr>
        <w:spacing w:before="100" w:beforeAutospacing="1" w:after="0" w:line="240" w:lineRule="auto"/>
        <w:rPr>
          <w:rFonts w:ascii="Arial" w:hAnsi="Arial" w:cs="Arial"/>
        </w:rPr>
      </w:pPr>
      <w:r w:rsidRPr="00D907ED">
        <w:rPr>
          <w:rFonts w:ascii="Arial" w:hAnsi="Arial" w:cs="Arial"/>
        </w:rPr>
        <w:t>There were 64 new starts over the course of the year 17 fixed term, 31 permanent and 16 apprentices.  The majority of fixed term employees were recruited within Greenspace to undertake seasonal work.</w:t>
      </w:r>
    </w:p>
    <w:p w:rsidR="00474CEB" w:rsidRPr="00CD0DE7" w:rsidRDefault="00474CEB" w:rsidP="0019210F">
      <w:pPr>
        <w:numPr>
          <w:ilvl w:val="0"/>
          <w:numId w:val="11"/>
        </w:numPr>
        <w:spacing w:before="100" w:beforeAutospacing="1" w:after="0" w:line="240" w:lineRule="auto"/>
        <w:rPr>
          <w:rFonts w:ascii="Arial" w:hAnsi="Arial" w:cs="Arial"/>
          <w:b/>
        </w:rPr>
      </w:pPr>
      <w:r w:rsidRPr="00CD0DE7">
        <w:rPr>
          <w:rFonts w:ascii="Arial" w:hAnsi="Arial" w:cs="Arial"/>
          <w:b/>
        </w:rPr>
        <w:t>Turnover</w:t>
      </w:r>
    </w:p>
    <w:tbl>
      <w:tblPr>
        <w:tblW w:w="4454" w:type="pct"/>
        <w:tblLook w:val="04A0" w:firstRow="1" w:lastRow="0" w:firstColumn="1" w:lastColumn="0" w:noHBand="0" w:noVBand="1"/>
      </w:tblPr>
      <w:tblGrid>
        <w:gridCol w:w="3829"/>
        <w:gridCol w:w="2385"/>
        <w:gridCol w:w="2432"/>
        <w:gridCol w:w="1202"/>
        <w:gridCol w:w="1207"/>
        <w:gridCol w:w="1571"/>
      </w:tblGrid>
      <w:tr w:rsidR="00CC7802" w:rsidRPr="00CC7802" w:rsidTr="00CC7802">
        <w:trPr>
          <w:trHeight w:val="780"/>
        </w:trPr>
        <w:tc>
          <w:tcPr>
            <w:tcW w:w="151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9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Staff at 1 April 2016</w:t>
            </w:r>
          </w:p>
        </w:tc>
        <w:tc>
          <w:tcPr>
            <w:tcW w:w="963"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Staff at 1 April 2017</w:t>
            </w:r>
          </w:p>
        </w:tc>
        <w:tc>
          <w:tcPr>
            <w:tcW w:w="4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Average</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Leavers</w:t>
            </w:r>
          </w:p>
        </w:tc>
        <w:tc>
          <w:tcPr>
            <w:tcW w:w="62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Turnover %</w:t>
            </w:r>
          </w:p>
        </w:tc>
      </w:tr>
      <w:tr w:rsidR="00474CEB" w:rsidRPr="00765129" w:rsidTr="00CC7802">
        <w:trPr>
          <w:trHeight w:val="270"/>
        </w:trPr>
        <w:tc>
          <w:tcPr>
            <w:tcW w:w="1516"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Facilities Management</w:t>
            </w:r>
          </w:p>
        </w:tc>
        <w:tc>
          <w:tcPr>
            <w:tcW w:w="944"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534</w:t>
            </w:r>
          </w:p>
        </w:tc>
        <w:tc>
          <w:tcPr>
            <w:tcW w:w="963"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52</w:t>
            </w:r>
            <w:r>
              <w:rPr>
                <w:rFonts w:ascii="Arial" w:hAnsi="Arial" w:cs="Arial"/>
                <w:color w:val="000000"/>
                <w:sz w:val="20"/>
                <w:szCs w:val="20"/>
              </w:rPr>
              <w:t>4</w:t>
            </w:r>
          </w:p>
        </w:tc>
        <w:tc>
          <w:tcPr>
            <w:tcW w:w="47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529</w:t>
            </w:r>
          </w:p>
        </w:tc>
        <w:tc>
          <w:tcPr>
            <w:tcW w:w="478"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34</w:t>
            </w:r>
          </w:p>
        </w:tc>
        <w:tc>
          <w:tcPr>
            <w:tcW w:w="622"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6.43%</w:t>
            </w:r>
          </w:p>
        </w:tc>
      </w:tr>
      <w:tr w:rsidR="00474CEB" w:rsidRPr="00765129" w:rsidTr="00CC7802">
        <w:trPr>
          <w:trHeight w:val="270"/>
        </w:trPr>
        <w:tc>
          <w:tcPr>
            <w:tcW w:w="1516"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Fleet &amp; Waste Services</w:t>
            </w:r>
          </w:p>
        </w:tc>
        <w:tc>
          <w:tcPr>
            <w:tcW w:w="944"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127</w:t>
            </w:r>
          </w:p>
        </w:tc>
        <w:tc>
          <w:tcPr>
            <w:tcW w:w="963"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w:t>
            </w:r>
            <w:r>
              <w:rPr>
                <w:rFonts w:ascii="Arial" w:hAnsi="Arial" w:cs="Arial"/>
                <w:color w:val="000000"/>
                <w:sz w:val="20"/>
                <w:szCs w:val="20"/>
              </w:rPr>
              <w:t>3</w:t>
            </w:r>
          </w:p>
        </w:tc>
        <w:tc>
          <w:tcPr>
            <w:tcW w:w="47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120</w:t>
            </w:r>
          </w:p>
        </w:tc>
        <w:tc>
          <w:tcPr>
            <w:tcW w:w="478"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w:t>
            </w:r>
          </w:p>
        </w:tc>
        <w:tc>
          <w:tcPr>
            <w:tcW w:w="622"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9.21%</w:t>
            </w:r>
          </w:p>
        </w:tc>
      </w:tr>
      <w:tr w:rsidR="00474CEB" w:rsidRPr="00765129" w:rsidTr="00CC7802">
        <w:trPr>
          <w:trHeight w:val="270"/>
        </w:trPr>
        <w:tc>
          <w:tcPr>
            <w:tcW w:w="1516"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Greenspace</w:t>
            </w:r>
          </w:p>
        </w:tc>
        <w:tc>
          <w:tcPr>
            <w:tcW w:w="944"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211</w:t>
            </w:r>
          </w:p>
        </w:tc>
        <w:tc>
          <w:tcPr>
            <w:tcW w:w="963"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211</w:t>
            </w:r>
          </w:p>
        </w:tc>
        <w:tc>
          <w:tcPr>
            <w:tcW w:w="47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211</w:t>
            </w:r>
          </w:p>
        </w:tc>
        <w:tc>
          <w:tcPr>
            <w:tcW w:w="478"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2</w:t>
            </w:r>
            <w:r>
              <w:rPr>
                <w:rFonts w:ascii="Arial" w:hAnsi="Arial" w:cs="Arial"/>
                <w:color w:val="000000"/>
                <w:sz w:val="20"/>
                <w:szCs w:val="20"/>
              </w:rPr>
              <w:t>3</w:t>
            </w:r>
          </w:p>
        </w:tc>
        <w:tc>
          <w:tcPr>
            <w:tcW w:w="622"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11.85%</w:t>
            </w:r>
          </w:p>
        </w:tc>
      </w:tr>
      <w:tr w:rsidR="00474CEB" w:rsidRPr="00765129" w:rsidTr="00CC7802">
        <w:trPr>
          <w:trHeight w:val="270"/>
        </w:trPr>
        <w:tc>
          <w:tcPr>
            <w:tcW w:w="1516" w:type="pct"/>
            <w:tcBorders>
              <w:top w:val="nil"/>
              <w:left w:val="single" w:sz="8" w:space="0" w:color="auto"/>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rPr>
                <w:rFonts w:ascii="Arial" w:hAnsi="Arial" w:cs="Arial"/>
                <w:color w:val="000000"/>
                <w:sz w:val="20"/>
                <w:szCs w:val="20"/>
              </w:rPr>
            </w:pPr>
            <w:r w:rsidRPr="00765129">
              <w:rPr>
                <w:rFonts w:ascii="Arial" w:hAnsi="Arial" w:cs="Arial"/>
                <w:color w:val="000000"/>
                <w:sz w:val="20"/>
                <w:szCs w:val="20"/>
              </w:rPr>
              <w:t>Roads &amp; Transportation</w:t>
            </w:r>
          </w:p>
        </w:tc>
        <w:tc>
          <w:tcPr>
            <w:tcW w:w="944"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97</w:t>
            </w:r>
          </w:p>
        </w:tc>
        <w:tc>
          <w:tcPr>
            <w:tcW w:w="963"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95</w:t>
            </w:r>
          </w:p>
        </w:tc>
        <w:tc>
          <w:tcPr>
            <w:tcW w:w="476"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96</w:t>
            </w:r>
          </w:p>
        </w:tc>
        <w:tc>
          <w:tcPr>
            <w:tcW w:w="478"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w:t>
            </w:r>
          </w:p>
        </w:tc>
        <w:tc>
          <w:tcPr>
            <w:tcW w:w="622" w:type="pct"/>
            <w:tcBorders>
              <w:top w:val="nil"/>
              <w:left w:val="nil"/>
              <w:bottom w:val="single" w:sz="8" w:space="0" w:color="auto"/>
              <w:right w:val="single" w:sz="8" w:space="0" w:color="auto"/>
            </w:tcBorders>
            <w:shd w:val="clear" w:color="auto" w:fill="auto"/>
            <w:vAlign w:val="center"/>
            <w:hideMark/>
          </w:tcPr>
          <w:p w:rsidR="00474CEB" w:rsidRPr="00765129" w:rsidRDefault="00474CEB" w:rsidP="00474CEB">
            <w:pPr>
              <w:spacing w:before="100" w:beforeAutospacing="1" w:after="0" w:line="240" w:lineRule="auto"/>
              <w:jc w:val="right"/>
              <w:rPr>
                <w:rFonts w:ascii="Arial" w:hAnsi="Arial" w:cs="Arial"/>
                <w:color w:val="000000"/>
                <w:sz w:val="20"/>
                <w:szCs w:val="20"/>
              </w:rPr>
            </w:pPr>
            <w:r w:rsidRPr="00765129">
              <w:rPr>
                <w:rFonts w:ascii="Arial" w:hAnsi="Arial" w:cs="Arial"/>
                <w:color w:val="000000"/>
                <w:sz w:val="20"/>
                <w:szCs w:val="20"/>
              </w:rPr>
              <w:t>5.21%</w:t>
            </w:r>
          </w:p>
        </w:tc>
      </w:tr>
      <w:tr w:rsidR="00CC7802" w:rsidRPr="00CC7802" w:rsidTr="00CC7802">
        <w:trPr>
          <w:trHeight w:val="525"/>
        </w:trPr>
        <w:tc>
          <w:tcPr>
            <w:tcW w:w="151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944"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969</w:t>
            </w:r>
          </w:p>
        </w:tc>
        <w:tc>
          <w:tcPr>
            <w:tcW w:w="963"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943</w:t>
            </w:r>
          </w:p>
        </w:tc>
        <w:tc>
          <w:tcPr>
            <w:tcW w:w="47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955</w:t>
            </w:r>
          </w:p>
        </w:tc>
        <w:tc>
          <w:tcPr>
            <w:tcW w:w="478"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73</w:t>
            </w:r>
          </w:p>
        </w:tc>
        <w:tc>
          <w:tcPr>
            <w:tcW w:w="622"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7.85%</w:t>
            </w:r>
          </w:p>
        </w:tc>
      </w:tr>
    </w:tbl>
    <w:p w:rsidR="00BA11CF" w:rsidRDefault="00474CEB" w:rsidP="00BA11CF">
      <w:pPr>
        <w:spacing w:before="100" w:beforeAutospacing="1" w:after="0" w:line="240" w:lineRule="auto"/>
        <w:rPr>
          <w:rFonts w:ascii="Arial" w:hAnsi="Arial" w:cs="Arial"/>
          <w:b/>
        </w:rPr>
      </w:pPr>
      <w:r w:rsidRPr="002802F0">
        <w:rPr>
          <w:rFonts w:ascii="Arial" w:hAnsi="Arial" w:cs="Arial"/>
        </w:rPr>
        <w:t xml:space="preserve">Turnover within Environment and Neighbourhood services has risen from 4.5% in 2015/16 to </w:t>
      </w:r>
      <w:r>
        <w:rPr>
          <w:rFonts w:ascii="Arial" w:hAnsi="Arial" w:cs="Arial"/>
        </w:rPr>
        <w:t>7.85</w:t>
      </w:r>
      <w:r w:rsidRPr="002802F0">
        <w:rPr>
          <w:rFonts w:ascii="Arial" w:hAnsi="Arial" w:cs="Arial"/>
        </w:rPr>
        <w:t xml:space="preserve">% in 2016/17 </w:t>
      </w:r>
      <w:r>
        <w:rPr>
          <w:rFonts w:ascii="Arial" w:hAnsi="Arial" w:cs="Arial"/>
        </w:rPr>
        <w:t>however</w:t>
      </w:r>
      <w:r w:rsidRPr="002802F0">
        <w:rPr>
          <w:rFonts w:ascii="Arial" w:hAnsi="Arial" w:cs="Arial"/>
        </w:rPr>
        <w:t xml:space="preserve"> is </w:t>
      </w:r>
      <w:r>
        <w:rPr>
          <w:rFonts w:ascii="Arial" w:hAnsi="Arial" w:cs="Arial"/>
        </w:rPr>
        <w:t>still fairly low and comparable</w:t>
      </w:r>
      <w:r w:rsidRPr="002802F0">
        <w:rPr>
          <w:rFonts w:ascii="Arial" w:hAnsi="Arial" w:cs="Arial"/>
        </w:rPr>
        <w:t xml:space="preserve"> to the </w:t>
      </w:r>
      <w:r>
        <w:rPr>
          <w:rFonts w:ascii="Arial" w:hAnsi="Arial" w:cs="Arial"/>
        </w:rPr>
        <w:t>C</w:t>
      </w:r>
      <w:r w:rsidRPr="002802F0">
        <w:rPr>
          <w:rFonts w:ascii="Arial" w:hAnsi="Arial" w:cs="Arial"/>
        </w:rPr>
        <w:t>ouncil retention rate of 92%.</w:t>
      </w:r>
      <w:r w:rsidR="00BA11CF">
        <w:rPr>
          <w:rFonts w:ascii="Arial" w:hAnsi="Arial" w:cs="Arial"/>
          <w:b/>
        </w:rPr>
        <w:br w:type="page"/>
      </w:r>
    </w:p>
    <w:p w:rsidR="00474CEB" w:rsidRDefault="00474CEB" w:rsidP="0019210F">
      <w:pPr>
        <w:numPr>
          <w:ilvl w:val="0"/>
          <w:numId w:val="11"/>
        </w:numPr>
        <w:tabs>
          <w:tab w:val="left" w:pos="0"/>
        </w:tabs>
        <w:spacing w:before="100" w:beforeAutospacing="1" w:after="0" w:line="240" w:lineRule="auto"/>
        <w:rPr>
          <w:rFonts w:ascii="Arial" w:hAnsi="Arial" w:cs="Arial"/>
          <w:b/>
        </w:rPr>
      </w:pPr>
      <w:r w:rsidRPr="00ED5DBF">
        <w:rPr>
          <w:rFonts w:ascii="Arial" w:hAnsi="Arial" w:cs="Arial"/>
          <w:b/>
        </w:rPr>
        <w:lastRenderedPageBreak/>
        <w:t>Leavers</w:t>
      </w:r>
    </w:p>
    <w:tbl>
      <w:tblPr>
        <w:tblW w:w="5000" w:type="pct"/>
        <w:tblLook w:val="04A0" w:firstRow="1" w:lastRow="0" w:firstColumn="1" w:lastColumn="0" w:noHBand="0" w:noVBand="1"/>
      </w:tblPr>
      <w:tblGrid>
        <w:gridCol w:w="2879"/>
        <w:gridCol w:w="928"/>
        <w:gridCol w:w="1150"/>
        <w:gridCol w:w="1150"/>
        <w:gridCol w:w="1150"/>
        <w:gridCol w:w="1161"/>
        <w:gridCol w:w="1361"/>
        <w:gridCol w:w="839"/>
        <w:gridCol w:w="1161"/>
        <w:gridCol w:w="839"/>
        <w:gridCol w:w="862"/>
        <w:gridCol w:w="694"/>
      </w:tblGrid>
      <w:tr w:rsidR="00CC7802" w:rsidRPr="00CC7802" w:rsidTr="00CC7802">
        <w:trPr>
          <w:trHeight w:val="690"/>
        </w:trPr>
        <w:tc>
          <w:tcPr>
            <w:tcW w:w="101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327"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Death in Service</w:t>
            </w:r>
          </w:p>
        </w:tc>
        <w:tc>
          <w:tcPr>
            <w:tcW w:w="406"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Dismissal - End of Contract</w:t>
            </w:r>
          </w:p>
        </w:tc>
        <w:tc>
          <w:tcPr>
            <w:tcW w:w="406"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Dismissal Ill Heath</w:t>
            </w:r>
          </w:p>
        </w:tc>
        <w:tc>
          <w:tcPr>
            <w:tcW w:w="406"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Dismissal  With Notice</w:t>
            </w:r>
          </w:p>
        </w:tc>
        <w:tc>
          <w:tcPr>
            <w:tcW w:w="410"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Employee Not Started</w:t>
            </w:r>
          </w:p>
        </w:tc>
        <w:tc>
          <w:tcPr>
            <w:tcW w:w="480"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Resignation</w:t>
            </w:r>
          </w:p>
        </w:tc>
        <w:tc>
          <w:tcPr>
            <w:tcW w:w="296"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Retiral</w:t>
            </w:r>
          </w:p>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Age</w:t>
            </w:r>
          </w:p>
        </w:tc>
        <w:tc>
          <w:tcPr>
            <w:tcW w:w="410"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Retiral Efficiency</w:t>
            </w:r>
          </w:p>
        </w:tc>
        <w:tc>
          <w:tcPr>
            <w:tcW w:w="296"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Retiral Ill Health</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Retiral on Option (60+)</w:t>
            </w:r>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Total</w:t>
            </w:r>
          </w:p>
        </w:tc>
      </w:tr>
      <w:tr w:rsidR="00474CEB" w:rsidRPr="005F1BC4" w:rsidTr="00737A89">
        <w:trPr>
          <w:trHeight w:val="270"/>
        </w:trPr>
        <w:tc>
          <w:tcPr>
            <w:tcW w:w="1016"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Facilities Management</w:t>
            </w:r>
          </w:p>
        </w:tc>
        <w:tc>
          <w:tcPr>
            <w:tcW w:w="32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6</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48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21</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3</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304"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245" w:type="pct"/>
            <w:tcBorders>
              <w:top w:val="nil"/>
              <w:left w:val="nil"/>
              <w:bottom w:val="single" w:sz="8" w:space="0" w:color="auto"/>
              <w:right w:val="single" w:sz="8"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34</w:t>
            </w:r>
          </w:p>
        </w:tc>
      </w:tr>
      <w:tr w:rsidR="00474CEB" w:rsidRPr="005F1BC4" w:rsidTr="00737A89">
        <w:trPr>
          <w:trHeight w:val="270"/>
        </w:trPr>
        <w:tc>
          <w:tcPr>
            <w:tcW w:w="1016"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Fleet &amp; Waste Services</w:t>
            </w:r>
          </w:p>
        </w:tc>
        <w:tc>
          <w:tcPr>
            <w:tcW w:w="32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8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6</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304"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245" w:type="pct"/>
            <w:tcBorders>
              <w:top w:val="nil"/>
              <w:left w:val="nil"/>
              <w:bottom w:val="single" w:sz="8" w:space="0" w:color="auto"/>
              <w:right w:val="single" w:sz="8"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11</w:t>
            </w:r>
          </w:p>
        </w:tc>
      </w:tr>
      <w:tr w:rsidR="00474CEB" w:rsidRPr="005F1BC4" w:rsidTr="00737A89">
        <w:trPr>
          <w:trHeight w:val="270"/>
        </w:trPr>
        <w:tc>
          <w:tcPr>
            <w:tcW w:w="1016"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Greenspace</w:t>
            </w:r>
          </w:p>
        </w:tc>
        <w:tc>
          <w:tcPr>
            <w:tcW w:w="32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Pr>
                <w:rFonts w:ascii="Arial" w:hAnsi="Arial" w:cs="Arial"/>
                <w:color w:val="000000"/>
                <w:sz w:val="20"/>
                <w:szCs w:val="20"/>
              </w:rPr>
              <w:t>9</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8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Pr>
                <w:rFonts w:ascii="Arial" w:hAnsi="Arial" w:cs="Arial"/>
                <w:color w:val="000000"/>
                <w:sz w:val="20"/>
                <w:szCs w:val="20"/>
              </w:rPr>
              <w:t>9</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p>
        </w:tc>
        <w:tc>
          <w:tcPr>
            <w:tcW w:w="304"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245" w:type="pct"/>
            <w:tcBorders>
              <w:top w:val="nil"/>
              <w:left w:val="nil"/>
              <w:bottom w:val="single" w:sz="8" w:space="0" w:color="auto"/>
              <w:right w:val="single" w:sz="8"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r>
              <w:rPr>
                <w:rFonts w:ascii="Arial" w:hAnsi="Arial" w:cs="Arial"/>
                <w:color w:val="000000"/>
                <w:sz w:val="20"/>
                <w:szCs w:val="20"/>
              </w:rPr>
              <w:t>3</w:t>
            </w:r>
          </w:p>
        </w:tc>
      </w:tr>
      <w:tr w:rsidR="00474CEB" w:rsidRPr="005F1BC4" w:rsidTr="00737A89">
        <w:trPr>
          <w:trHeight w:val="270"/>
        </w:trPr>
        <w:tc>
          <w:tcPr>
            <w:tcW w:w="1016"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Roads &amp; Transportation</w:t>
            </w:r>
          </w:p>
        </w:tc>
        <w:tc>
          <w:tcPr>
            <w:tcW w:w="32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0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48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p>
        </w:tc>
        <w:tc>
          <w:tcPr>
            <w:tcW w:w="41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296"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304"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245" w:type="pct"/>
            <w:tcBorders>
              <w:top w:val="nil"/>
              <w:left w:val="nil"/>
              <w:bottom w:val="single" w:sz="8" w:space="0" w:color="auto"/>
              <w:right w:val="single" w:sz="8"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5</w:t>
            </w:r>
          </w:p>
        </w:tc>
      </w:tr>
      <w:tr w:rsidR="00CC7802" w:rsidRPr="00CC7802" w:rsidTr="00CC7802">
        <w:trPr>
          <w:trHeight w:val="525"/>
        </w:trPr>
        <w:tc>
          <w:tcPr>
            <w:tcW w:w="101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32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11</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w:t>
            </w:r>
          </w:p>
        </w:tc>
        <w:tc>
          <w:tcPr>
            <w:tcW w:w="410"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w:t>
            </w:r>
          </w:p>
        </w:tc>
        <w:tc>
          <w:tcPr>
            <w:tcW w:w="480"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37</w:t>
            </w:r>
          </w:p>
        </w:tc>
        <w:tc>
          <w:tcPr>
            <w:tcW w:w="29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w:t>
            </w:r>
          </w:p>
        </w:tc>
        <w:tc>
          <w:tcPr>
            <w:tcW w:w="410"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w:t>
            </w:r>
          </w:p>
        </w:tc>
        <w:tc>
          <w:tcPr>
            <w:tcW w:w="296"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3</w:t>
            </w:r>
          </w:p>
        </w:tc>
        <w:tc>
          <w:tcPr>
            <w:tcW w:w="304"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w:t>
            </w:r>
          </w:p>
        </w:tc>
        <w:tc>
          <w:tcPr>
            <w:tcW w:w="245"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73</w:t>
            </w:r>
          </w:p>
        </w:tc>
      </w:tr>
    </w:tbl>
    <w:p w:rsidR="00474CEB" w:rsidRPr="005F1BC4" w:rsidRDefault="00474CEB" w:rsidP="00474CEB">
      <w:pPr>
        <w:spacing w:before="100" w:beforeAutospacing="1" w:after="0" w:line="240" w:lineRule="auto"/>
        <w:rPr>
          <w:rFonts w:ascii="Arial" w:hAnsi="Arial" w:cs="Arial"/>
        </w:rPr>
      </w:pPr>
      <w:r w:rsidRPr="002802F0">
        <w:rPr>
          <w:rFonts w:ascii="Arial" w:eastAsia="Calibri" w:hAnsi="Arial" w:cs="Arial"/>
        </w:rPr>
        <w:t>The leaver</w:t>
      </w:r>
      <w:r>
        <w:rPr>
          <w:rFonts w:ascii="Arial" w:eastAsia="Calibri" w:hAnsi="Arial" w:cs="Arial"/>
        </w:rPr>
        <w:t xml:space="preserve"> </w:t>
      </w:r>
      <w:r w:rsidRPr="002802F0">
        <w:rPr>
          <w:rFonts w:ascii="Arial" w:eastAsia="Calibri" w:hAnsi="Arial" w:cs="Arial"/>
        </w:rPr>
        <w:t>statistic is similar to last year with a total of 7</w:t>
      </w:r>
      <w:r>
        <w:rPr>
          <w:rFonts w:ascii="Arial" w:eastAsia="Calibri" w:hAnsi="Arial" w:cs="Arial"/>
        </w:rPr>
        <w:t>3</w:t>
      </w:r>
      <w:r w:rsidRPr="002802F0">
        <w:rPr>
          <w:rFonts w:ascii="Arial" w:eastAsia="Calibri" w:hAnsi="Arial" w:cs="Arial"/>
        </w:rPr>
        <w:t xml:space="preserve"> </w:t>
      </w:r>
      <w:r w:rsidRPr="005F1BC4">
        <w:rPr>
          <w:rFonts w:ascii="Arial" w:eastAsia="Calibri" w:hAnsi="Arial" w:cs="Arial"/>
        </w:rPr>
        <w:t>leavers this year against 77 in 2015-16 with the distribution of reasons being similar albeit there has been a slight increase in resignations.</w:t>
      </w:r>
      <w:r w:rsidRPr="005F1BC4">
        <w:rPr>
          <w:rFonts w:ascii="Arial" w:hAnsi="Arial" w:cs="Arial"/>
        </w:rPr>
        <w:t xml:space="preserve"> To note the majority of leavers within Greenspace were fixed term seasonal employees.</w:t>
      </w:r>
    </w:p>
    <w:p w:rsidR="00474CEB" w:rsidRDefault="00474CEB" w:rsidP="00474CEB">
      <w:pPr>
        <w:spacing w:before="100" w:beforeAutospacing="1" w:after="0" w:line="240" w:lineRule="auto"/>
        <w:rPr>
          <w:rFonts w:ascii="Arial" w:eastAsia="Calibri" w:hAnsi="Arial" w:cs="Arial"/>
        </w:rPr>
      </w:pPr>
      <w:r>
        <w:rPr>
          <w:noProof/>
          <w:lang w:val="en-GB" w:eastAsia="en-GB"/>
        </w:rPr>
        <w:drawing>
          <wp:inline distT="0" distB="0" distL="0" distR="0" wp14:anchorId="1AAF43C0" wp14:editId="50C6E534">
            <wp:extent cx="4405745" cy="2766951"/>
            <wp:effectExtent l="0" t="0" r="13970" b="1460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11CF" w:rsidRPr="002802F0" w:rsidRDefault="00BA11CF" w:rsidP="00474CEB">
      <w:pPr>
        <w:spacing w:before="100" w:beforeAutospacing="1" w:after="0" w:line="240" w:lineRule="auto"/>
        <w:rPr>
          <w:rFonts w:ascii="Arial" w:eastAsia="Calibri" w:hAnsi="Arial" w:cs="Arial"/>
        </w:rPr>
      </w:pPr>
    </w:p>
    <w:tbl>
      <w:tblPr>
        <w:tblW w:w="2952" w:type="pct"/>
        <w:tblLook w:val="04A0" w:firstRow="1" w:lastRow="0" w:firstColumn="1" w:lastColumn="0" w:noHBand="0" w:noVBand="1"/>
      </w:tblPr>
      <w:tblGrid>
        <w:gridCol w:w="3828"/>
        <w:gridCol w:w="3002"/>
        <w:gridCol w:w="1538"/>
      </w:tblGrid>
      <w:tr w:rsidR="00474CEB" w:rsidRPr="005F1BC4" w:rsidTr="00CC7802">
        <w:trPr>
          <w:trHeight w:val="270"/>
        </w:trPr>
        <w:tc>
          <w:tcPr>
            <w:tcW w:w="5000" w:type="pct"/>
            <w:gridSpan w:val="3"/>
            <w:tcBorders>
              <w:top w:val="nil"/>
              <w:left w:val="nil"/>
              <w:bottom w:val="nil"/>
              <w:right w:val="nil"/>
            </w:tcBorders>
            <w:shd w:val="clear" w:color="auto" w:fill="auto"/>
            <w:noWrap/>
            <w:vAlign w:val="center"/>
            <w:hideMark/>
          </w:tcPr>
          <w:p w:rsidR="00474CEB" w:rsidRPr="005F1BC4" w:rsidRDefault="00474CEB" w:rsidP="00474CEB">
            <w:pPr>
              <w:spacing w:before="100" w:beforeAutospacing="1" w:after="0" w:line="240" w:lineRule="auto"/>
              <w:rPr>
                <w:rFonts w:ascii="Arial" w:hAnsi="Arial" w:cs="Arial"/>
                <w:b/>
                <w:bCs/>
                <w:sz w:val="20"/>
                <w:szCs w:val="20"/>
              </w:rPr>
            </w:pPr>
            <w:r w:rsidRPr="005F1BC4">
              <w:rPr>
                <w:rFonts w:ascii="Arial" w:hAnsi="Arial" w:cs="Arial"/>
                <w:b/>
                <w:bCs/>
                <w:sz w:val="20"/>
                <w:szCs w:val="20"/>
              </w:rPr>
              <w:t>Number of staff who left in their first year of employment with WDC</w:t>
            </w:r>
          </w:p>
        </w:tc>
      </w:tr>
      <w:tr w:rsidR="00CC7802" w:rsidRPr="00CC7802" w:rsidTr="00CC7802">
        <w:trPr>
          <w:trHeight w:val="495"/>
        </w:trPr>
        <w:tc>
          <w:tcPr>
            <w:tcW w:w="2287"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C7802" w:rsidRPr="00CC7802" w:rsidRDefault="00CC7802"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17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C7802" w:rsidRPr="00CC7802" w:rsidRDefault="00CC7802"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Headcount</w:t>
            </w:r>
          </w:p>
        </w:tc>
        <w:tc>
          <w:tcPr>
            <w:tcW w:w="919" w:type="pct"/>
            <w:vMerge w:val="restart"/>
            <w:tcBorders>
              <w:top w:val="nil"/>
              <w:left w:val="nil"/>
              <w:right w:val="nil"/>
            </w:tcBorders>
            <w:shd w:val="clear" w:color="auto" w:fill="FFFFFF" w:themeFill="background1"/>
            <w:noWrap/>
            <w:vAlign w:val="bottom"/>
            <w:hideMark/>
          </w:tcPr>
          <w:p w:rsidR="00CC7802" w:rsidRPr="00CC7802" w:rsidRDefault="00CC7802" w:rsidP="00474CEB">
            <w:pPr>
              <w:spacing w:before="100" w:beforeAutospacing="1" w:after="0" w:line="240" w:lineRule="auto"/>
              <w:rPr>
                <w:rFonts w:ascii="Arial" w:hAnsi="Arial" w:cs="Arial"/>
                <w:sz w:val="20"/>
                <w:szCs w:val="20"/>
              </w:rPr>
            </w:pPr>
          </w:p>
        </w:tc>
      </w:tr>
      <w:tr w:rsidR="00CC7802" w:rsidRPr="005F1BC4" w:rsidTr="00CC7802">
        <w:trPr>
          <w:trHeight w:val="270"/>
        </w:trPr>
        <w:tc>
          <w:tcPr>
            <w:tcW w:w="2287" w:type="pct"/>
            <w:tcBorders>
              <w:top w:val="nil"/>
              <w:left w:val="single" w:sz="8" w:space="0" w:color="auto"/>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Facilities Management</w:t>
            </w:r>
          </w:p>
        </w:tc>
        <w:tc>
          <w:tcPr>
            <w:tcW w:w="1794" w:type="pct"/>
            <w:tcBorders>
              <w:top w:val="nil"/>
              <w:left w:val="nil"/>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5</w:t>
            </w:r>
          </w:p>
        </w:tc>
        <w:tc>
          <w:tcPr>
            <w:tcW w:w="919" w:type="pct"/>
            <w:vMerge/>
            <w:tcBorders>
              <w:left w:val="nil"/>
              <w:right w:val="nil"/>
            </w:tcBorders>
            <w:shd w:val="clear" w:color="auto" w:fill="FFFFFF" w:themeFill="background1"/>
            <w:noWrap/>
            <w:vAlign w:val="bottom"/>
            <w:hideMark/>
          </w:tcPr>
          <w:p w:rsidR="00CC7802" w:rsidRPr="005F1BC4" w:rsidRDefault="00CC7802" w:rsidP="00474CEB">
            <w:pPr>
              <w:spacing w:before="100" w:beforeAutospacing="1" w:after="0" w:line="240" w:lineRule="auto"/>
              <w:rPr>
                <w:rFonts w:ascii="Arial" w:hAnsi="Arial" w:cs="Arial"/>
                <w:color w:val="000000"/>
                <w:sz w:val="20"/>
                <w:szCs w:val="20"/>
              </w:rPr>
            </w:pPr>
          </w:p>
        </w:tc>
      </w:tr>
      <w:tr w:rsidR="00CC7802" w:rsidRPr="005F1BC4" w:rsidTr="00CC7802">
        <w:trPr>
          <w:trHeight w:val="270"/>
        </w:trPr>
        <w:tc>
          <w:tcPr>
            <w:tcW w:w="2287" w:type="pct"/>
            <w:tcBorders>
              <w:top w:val="nil"/>
              <w:left w:val="single" w:sz="8" w:space="0" w:color="auto"/>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Fleet &amp; Waste Services</w:t>
            </w:r>
          </w:p>
        </w:tc>
        <w:tc>
          <w:tcPr>
            <w:tcW w:w="1794" w:type="pct"/>
            <w:tcBorders>
              <w:top w:val="nil"/>
              <w:left w:val="nil"/>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w:t>
            </w:r>
          </w:p>
        </w:tc>
        <w:tc>
          <w:tcPr>
            <w:tcW w:w="919" w:type="pct"/>
            <w:vMerge/>
            <w:tcBorders>
              <w:left w:val="nil"/>
              <w:right w:val="nil"/>
            </w:tcBorders>
            <w:shd w:val="clear" w:color="auto" w:fill="FFFFFF" w:themeFill="background1"/>
            <w:noWrap/>
            <w:vAlign w:val="bottom"/>
            <w:hideMark/>
          </w:tcPr>
          <w:p w:rsidR="00CC7802" w:rsidRPr="005F1BC4" w:rsidRDefault="00CC7802" w:rsidP="00474CEB">
            <w:pPr>
              <w:spacing w:before="100" w:beforeAutospacing="1" w:after="0" w:line="240" w:lineRule="auto"/>
              <w:rPr>
                <w:rFonts w:ascii="Arial" w:hAnsi="Arial" w:cs="Arial"/>
                <w:color w:val="000000"/>
                <w:sz w:val="20"/>
                <w:szCs w:val="20"/>
              </w:rPr>
            </w:pPr>
          </w:p>
        </w:tc>
      </w:tr>
      <w:tr w:rsidR="00CC7802" w:rsidRPr="005F1BC4" w:rsidTr="00CC7802">
        <w:trPr>
          <w:trHeight w:val="270"/>
        </w:trPr>
        <w:tc>
          <w:tcPr>
            <w:tcW w:w="2287" w:type="pct"/>
            <w:tcBorders>
              <w:top w:val="nil"/>
              <w:left w:val="single" w:sz="8" w:space="0" w:color="auto"/>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Greenspace</w:t>
            </w:r>
          </w:p>
        </w:tc>
        <w:tc>
          <w:tcPr>
            <w:tcW w:w="1794" w:type="pct"/>
            <w:tcBorders>
              <w:top w:val="nil"/>
              <w:left w:val="nil"/>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16</w:t>
            </w:r>
          </w:p>
        </w:tc>
        <w:tc>
          <w:tcPr>
            <w:tcW w:w="919" w:type="pct"/>
            <w:vMerge/>
            <w:tcBorders>
              <w:left w:val="nil"/>
              <w:right w:val="nil"/>
            </w:tcBorders>
            <w:shd w:val="clear" w:color="auto" w:fill="FFFFFF" w:themeFill="background1"/>
            <w:noWrap/>
            <w:vAlign w:val="bottom"/>
            <w:hideMark/>
          </w:tcPr>
          <w:p w:rsidR="00CC7802" w:rsidRPr="005F1BC4" w:rsidRDefault="00CC7802" w:rsidP="00474CEB">
            <w:pPr>
              <w:spacing w:before="100" w:beforeAutospacing="1" w:after="0" w:line="240" w:lineRule="auto"/>
              <w:rPr>
                <w:rFonts w:ascii="Arial" w:hAnsi="Arial" w:cs="Arial"/>
                <w:color w:val="000000"/>
                <w:sz w:val="20"/>
                <w:szCs w:val="20"/>
              </w:rPr>
            </w:pPr>
          </w:p>
        </w:tc>
      </w:tr>
      <w:tr w:rsidR="00CC7802" w:rsidRPr="005F1BC4" w:rsidTr="00CC7802">
        <w:trPr>
          <w:trHeight w:val="270"/>
        </w:trPr>
        <w:tc>
          <w:tcPr>
            <w:tcW w:w="2287" w:type="pct"/>
            <w:tcBorders>
              <w:top w:val="nil"/>
              <w:left w:val="single" w:sz="8" w:space="0" w:color="auto"/>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Roads &amp; Transportation</w:t>
            </w:r>
          </w:p>
        </w:tc>
        <w:tc>
          <w:tcPr>
            <w:tcW w:w="1794" w:type="pct"/>
            <w:tcBorders>
              <w:top w:val="nil"/>
              <w:left w:val="nil"/>
              <w:bottom w:val="single" w:sz="8" w:space="0" w:color="auto"/>
              <w:right w:val="single" w:sz="8" w:space="0" w:color="auto"/>
            </w:tcBorders>
            <w:shd w:val="clear" w:color="auto" w:fill="auto"/>
            <w:noWrap/>
            <w:vAlign w:val="center"/>
            <w:hideMark/>
          </w:tcPr>
          <w:p w:rsidR="00CC7802" w:rsidRPr="005F1BC4" w:rsidRDefault="00CC7802"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919" w:type="pct"/>
            <w:vMerge/>
            <w:tcBorders>
              <w:left w:val="nil"/>
              <w:right w:val="nil"/>
            </w:tcBorders>
            <w:shd w:val="clear" w:color="auto" w:fill="FFFFFF" w:themeFill="background1"/>
            <w:noWrap/>
            <w:vAlign w:val="bottom"/>
            <w:hideMark/>
          </w:tcPr>
          <w:p w:rsidR="00CC7802" w:rsidRPr="005F1BC4" w:rsidRDefault="00CC7802" w:rsidP="00474CEB">
            <w:pPr>
              <w:spacing w:before="100" w:beforeAutospacing="1" w:after="0" w:line="240" w:lineRule="auto"/>
              <w:rPr>
                <w:rFonts w:ascii="Arial" w:hAnsi="Arial" w:cs="Arial"/>
                <w:color w:val="000000"/>
                <w:sz w:val="20"/>
                <w:szCs w:val="20"/>
              </w:rPr>
            </w:pPr>
          </w:p>
        </w:tc>
      </w:tr>
      <w:tr w:rsidR="00CC7802" w:rsidRPr="00CC7802" w:rsidTr="00CC7802">
        <w:trPr>
          <w:trHeight w:val="270"/>
        </w:trPr>
        <w:tc>
          <w:tcPr>
            <w:tcW w:w="2287"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CC7802" w:rsidRPr="00CC7802" w:rsidRDefault="00CC7802"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1794" w:type="pct"/>
            <w:tcBorders>
              <w:top w:val="nil"/>
              <w:left w:val="nil"/>
              <w:bottom w:val="single" w:sz="8" w:space="0" w:color="auto"/>
              <w:right w:val="single" w:sz="8" w:space="0" w:color="auto"/>
            </w:tcBorders>
            <w:shd w:val="clear" w:color="auto" w:fill="D9D9D9" w:themeFill="background1" w:themeFillShade="D9"/>
            <w:noWrap/>
            <w:vAlign w:val="center"/>
            <w:hideMark/>
          </w:tcPr>
          <w:p w:rsidR="00CC7802" w:rsidRPr="00CC7802" w:rsidRDefault="00CC7802"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23</w:t>
            </w:r>
          </w:p>
        </w:tc>
        <w:tc>
          <w:tcPr>
            <w:tcW w:w="919" w:type="pct"/>
            <w:vMerge/>
            <w:tcBorders>
              <w:left w:val="nil"/>
              <w:bottom w:val="nil"/>
              <w:right w:val="nil"/>
            </w:tcBorders>
            <w:shd w:val="clear" w:color="auto" w:fill="FFFFFF" w:themeFill="background1"/>
            <w:noWrap/>
            <w:vAlign w:val="bottom"/>
            <w:hideMark/>
          </w:tcPr>
          <w:p w:rsidR="00CC7802" w:rsidRPr="00CC7802" w:rsidRDefault="00CC7802" w:rsidP="00474CEB">
            <w:pPr>
              <w:spacing w:before="100" w:beforeAutospacing="1" w:after="0" w:line="240" w:lineRule="auto"/>
              <w:rPr>
                <w:rFonts w:ascii="Arial" w:hAnsi="Arial" w:cs="Arial"/>
                <w:sz w:val="20"/>
                <w:szCs w:val="20"/>
              </w:rPr>
            </w:pPr>
          </w:p>
        </w:tc>
      </w:tr>
    </w:tbl>
    <w:p w:rsidR="00474CEB" w:rsidRDefault="00474CEB" w:rsidP="00474CEB">
      <w:pPr>
        <w:spacing w:before="100" w:beforeAutospacing="1" w:after="0" w:line="240" w:lineRule="auto"/>
        <w:rPr>
          <w:noProof/>
        </w:rPr>
      </w:pPr>
      <w:r>
        <w:rPr>
          <w:noProof/>
          <w:lang w:val="en-GB" w:eastAsia="en-GB"/>
        </w:rPr>
        <w:drawing>
          <wp:inline distT="0" distB="0" distL="0" distR="0" wp14:anchorId="3C96683D" wp14:editId="7129B2D1">
            <wp:extent cx="4318635" cy="2589530"/>
            <wp:effectExtent l="0" t="0" r="24765" b="2032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7A89" w:rsidRDefault="00737A89">
      <w:pPr>
        <w:spacing w:after="0" w:line="240" w:lineRule="auto"/>
        <w:rPr>
          <w:rFonts w:ascii="Arial" w:hAnsi="Arial" w:cs="Arial"/>
          <w:b/>
        </w:rPr>
      </w:pPr>
      <w:r>
        <w:rPr>
          <w:rFonts w:ascii="Arial" w:hAnsi="Arial" w:cs="Arial"/>
          <w:b/>
        </w:rPr>
        <w:br w:type="page"/>
      </w:r>
    </w:p>
    <w:p w:rsidR="00474CEB" w:rsidRPr="005F237D" w:rsidRDefault="00474CEB" w:rsidP="0019210F">
      <w:pPr>
        <w:numPr>
          <w:ilvl w:val="0"/>
          <w:numId w:val="11"/>
        </w:numPr>
        <w:tabs>
          <w:tab w:val="left" w:pos="426"/>
        </w:tabs>
        <w:spacing w:before="100" w:beforeAutospacing="1" w:after="0" w:line="240" w:lineRule="auto"/>
        <w:rPr>
          <w:rFonts w:ascii="Arial" w:hAnsi="Arial" w:cs="Arial"/>
          <w:b/>
        </w:rPr>
      </w:pPr>
      <w:r w:rsidRPr="005F237D">
        <w:rPr>
          <w:rFonts w:ascii="Arial" w:hAnsi="Arial" w:cs="Arial"/>
          <w:b/>
        </w:rPr>
        <w:lastRenderedPageBreak/>
        <w:t>Apprentices</w:t>
      </w:r>
    </w:p>
    <w:tbl>
      <w:tblPr>
        <w:tblW w:w="2344" w:type="pct"/>
        <w:tblLook w:val="04A0" w:firstRow="1" w:lastRow="0" w:firstColumn="1" w:lastColumn="0" w:noHBand="0" w:noVBand="1"/>
      </w:tblPr>
      <w:tblGrid>
        <w:gridCol w:w="3827"/>
        <w:gridCol w:w="940"/>
        <w:gridCol w:w="940"/>
        <w:gridCol w:w="938"/>
      </w:tblGrid>
      <w:tr w:rsidR="00474CEB" w:rsidRPr="005F237D" w:rsidTr="00505FA1">
        <w:trPr>
          <w:trHeight w:val="270"/>
        </w:trPr>
        <w:tc>
          <w:tcPr>
            <w:tcW w:w="2880" w:type="pct"/>
            <w:tcBorders>
              <w:top w:val="nil"/>
              <w:left w:val="nil"/>
              <w:bottom w:val="nil"/>
              <w:right w:val="nil"/>
            </w:tcBorders>
            <w:shd w:val="clear" w:color="auto" w:fill="auto"/>
            <w:noWrap/>
            <w:vAlign w:val="bottom"/>
            <w:hideMark/>
          </w:tcPr>
          <w:p w:rsidR="00474CEB" w:rsidRPr="005F237D" w:rsidRDefault="00474CEB" w:rsidP="00474CEB">
            <w:pPr>
              <w:spacing w:before="100" w:beforeAutospacing="1" w:after="0" w:line="240" w:lineRule="auto"/>
              <w:rPr>
                <w:rFonts w:ascii="Arial" w:hAnsi="Arial" w:cs="Arial"/>
                <w:b/>
                <w:bCs/>
                <w:color w:val="000000"/>
                <w:sz w:val="20"/>
                <w:szCs w:val="20"/>
              </w:rPr>
            </w:pPr>
          </w:p>
        </w:tc>
        <w:tc>
          <w:tcPr>
            <w:tcW w:w="707" w:type="pct"/>
            <w:tcBorders>
              <w:top w:val="nil"/>
              <w:left w:val="nil"/>
              <w:bottom w:val="nil"/>
              <w:right w:val="nil"/>
            </w:tcBorders>
            <w:shd w:val="clear" w:color="auto" w:fill="auto"/>
            <w:noWrap/>
            <w:vAlign w:val="bottom"/>
            <w:hideMark/>
          </w:tcPr>
          <w:p w:rsidR="00474CEB" w:rsidRPr="005F237D" w:rsidRDefault="00474CEB" w:rsidP="00474CEB">
            <w:pPr>
              <w:spacing w:before="100" w:beforeAutospacing="1" w:after="0" w:line="240" w:lineRule="auto"/>
              <w:rPr>
                <w:rFonts w:ascii="Arial" w:hAnsi="Arial" w:cs="Arial"/>
                <w:color w:val="000000"/>
                <w:sz w:val="20"/>
                <w:szCs w:val="20"/>
              </w:rPr>
            </w:pPr>
          </w:p>
        </w:tc>
        <w:tc>
          <w:tcPr>
            <w:tcW w:w="707" w:type="pct"/>
            <w:tcBorders>
              <w:top w:val="nil"/>
              <w:left w:val="nil"/>
              <w:bottom w:val="nil"/>
              <w:right w:val="nil"/>
            </w:tcBorders>
            <w:shd w:val="clear" w:color="auto" w:fill="auto"/>
            <w:noWrap/>
            <w:vAlign w:val="bottom"/>
            <w:hideMark/>
          </w:tcPr>
          <w:p w:rsidR="00474CEB" w:rsidRPr="005F237D" w:rsidRDefault="00474CEB" w:rsidP="00474CEB">
            <w:pPr>
              <w:spacing w:before="100" w:beforeAutospacing="1" w:after="0" w:line="240" w:lineRule="auto"/>
              <w:rPr>
                <w:rFonts w:ascii="Arial" w:hAnsi="Arial" w:cs="Arial"/>
                <w:color w:val="000000"/>
                <w:sz w:val="20"/>
                <w:szCs w:val="20"/>
              </w:rPr>
            </w:pPr>
          </w:p>
        </w:tc>
        <w:tc>
          <w:tcPr>
            <w:tcW w:w="707" w:type="pct"/>
            <w:tcBorders>
              <w:top w:val="nil"/>
              <w:left w:val="nil"/>
              <w:bottom w:val="nil"/>
              <w:right w:val="nil"/>
            </w:tcBorders>
            <w:shd w:val="clear" w:color="auto" w:fill="auto"/>
            <w:noWrap/>
            <w:vAlign w:val="bottom"/>
            <w:hideMark/>
          </w:tcPr>
          <w:p w:rsidR="00474CEB" w:rsidRPr="005F237D" w:rsidRDefault="00474CEB" w:rsidP="00474CEB">
            <w:pPr>
              <w:spacing w:before="100" w:beforeAutospacing="1" w:after="0" w:line="240" w:lineRule="auto"/>
              <w:rPr>
                <w:rFonts w:ascii="Arial" w:hAnsi="Arial" w:cs="Arial"/>
                <w:color w:val="000000"/>
                <w:sz w:val="20"/>
                <w:szCs w:val="20"/>
              </w:rPr>
            </w:pPr>
          </w:p>
        </w:tc>
      </w:tr>
      <w:tr w:rsidR="00CC7802" w:rsidRPr="00CC7802" w:rsidTr="00CC7802">
        <w:trPr>
          <w:trHeight w:val="270"/>
        </w:trPr>
        <w:tc>
          <w:tcPr>
            <w:tcW w:w="288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70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Level 2</w:t>
            </w:r>
          </w:p>
        </w:tc>
        <w:tc>
          <w:tcPr>
            <w:tcW w:w="70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Level 3</w:t>
            </w:r>
          </w:p>
        </w:tc>
        <w:tc>
          <w:tcPr>
            <w:tcW w:w="70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Total</w:t>
            </w:r>
          </w:p>
        </w:tc>
      </w:tr>
      <w:tr w:rsidR="00474CEB" w:rsidRPr="005F1BC4" w:rsidTr="00505FA1">
        <w:trPr>
          <w:trHeight w:val="270"/>
        </w:trPr>
        <w:tc>
          <w:tcPr>
            <w:tcW w:w="2880"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Facilities Management</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r>
      <w:tr w:rsidR="00474CEB" w:rsidRPr="005F1BC4" w:rsidTr="00505FA1">
        <w:trPr>
          <w:trHeight w:val="270"/>
        </w:trPr>
        <w:tc>
          <w:tcPr>
            <w:tcW w:w="2880"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Fleet &amp; Waste Services</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r>
      <w:tr w:rsidR="00474CEB" w:rsidRPr="005F1BC4" w:rsidTr="00505FA1">
        <w:trPr>
          <w:trHeight w:val="270"/>
        </w:trPr>
        <w:tc>
          <w:tcPr>
            <w:tcW w:w="2880"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Greenspace</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14</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6</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20</w:t>
            </w:r>
          </w:p>
        </w:tc>
      </w:tr>
      <w:tr w:rsidR="00474CEB" w:rsidRPr="005F1BC4" w:rsidTr="00505FA1">
        <w:trPr>
          <w:trHeight w:val="270"/>
        </w:trPr>
        <w:tc>
          <w:tcPr>
            <w:tcW w:w="2880"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Roads &amp; Transportation</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707"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r>
      <w:tr w:rsidR="00CC7802" w:rsidRPr="00CC7802" w:rsidTr="00CC7802">
        <w:trPr>
          <w:trHeight w:val="525"/>
        </w:trPr>
        <w:tc>
          <w:tcPr>
            <w:tcW w:w="2880"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70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14</w:t>
            </w:r>
          </w:p>
        </w:tc>
        <w:tc>
          <w:tcPr>
            <w:tcW w:w="70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w:t>
            </w:r>
          </w:p>
        </w:tc>
        <w:tc>
          <w:tcPr>
            <w:tcW w:w="707"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21</w:t>
            </w:r>
          </w:p>
        </w:tc>
      </w:tr>
    </w:tbl>
    <w:p w:rsidR="00474CEB" w:rsidRDefault="00474CEB" w:rsidP="00474CEB">
      <w:pPr>
        <w:spacing w:before="100" w:beforeAutospacing="1" w:after="0" w:line="240" w:lineRule="auto"/>
        <w:rPr>
          <w:rFonts w:ascii="Arial" w:eastAsia="Calibri" w:hAnsi="Arial" w:cs="Arial"/>
        </w:rPr>
      </w:pPr>
      <w:r w:rsidRPr="002802F0">
        <w:rPr>
          <w:rFonts w:ascii="Arial" w:eastAsia="Calibri" w:hAnsi="Arial" w:cs="Arial"/>
        </w:rPr>
        <w:t>Environment and Neighbourhood continue to support the apprenticeship scheme by offering placement to young people within their service areas.  A number of level 2 apprentices within Greenspace have progressed to Level 3 or been given</w:t>
      </w:r>
      <w:r>
        <w:rPr>
          <w:rFonts w:ascii="Arial" w:eastAsia="Calibri" w:hAnsi="Arial" w:cs="Arial"/>
        </w:rPr>
        <w:t xml:space="preserve"> the </w:t>
      </w:r>
      <w:r w:rsidRPr="002802F0">
        <w:rPr>
          <w:rFonts w:ascii="Arial" w:eastAsia="Calibri" w:hAnsi="Arial" w:cs="Arial"/>
        </w:rPr>
        <w:t xml:space="preserve">opportunity of seasonal employment on a fixed term </w:t>
      </w:r>
      <w:r>
        <w:rPr>
          <w:rFonts w:ascii="Arial" w:eastAsia="Calibri" w:hAnsi="Arial" w:cs="Arial"/>
        </w:rPr>
        <w:t>contracts</w:t>
      </w:r>
      <w:r w:rsidRPr="002802F0">
        <w:rPr>
          <w:rFonts w:ascii="Arial" w:eastAsia="Calibri" w:hAnsi="Arial" w:cs="Arial"/>
        </w:rPr>
        <w:t>.</w:t>
      </w:r>
    </w:p>
    <w:p w:rsidR="00474CEB" w:rsidRPr="0090794C" w:rsidRDefault="00474CEB" w:rsidP="0019210F">
      <w:pPr>
        <w:numPr>
          <w:ilvl w:val="0"/>
          <w:numId w:val="11"/>
        </w:numPr>
        <w:tabs>
          <w:tab w:val="left" w:pos="142"/>
        </w:tabs>
        <w:spacing w:before="100" w:beforeAutospacing="1" w:after="0" w:line="240" w:lineRule="auto"/>
        <w:rPr>
          <w:rFonts w:ascii="Arial" w:hAnsi="Arial" w:cs="Arial"/>
          <w:b/>
        </w:rPr>
      </w:pPr>
      <w:r>
        <w:rPr>
          <w:rFonts w:ascii="Arial" w:hAnsi="Arial" w:cs="Arial"/>
          <w:b/>
        </w:rPr>
        <w:t>M</w:t>
      </w:r>
      <w:r w:rsidRPr="0090794C">
        <w:rPr>
          <w:rFonts w:ascii="Arial" w:hAnsi="Arial" w:cs="Arial"/>
          <w:b/>
        </w:rPr>
        <w:t>aternity/Paternity Leave</w:t>
      </w:r>
    </w:p>
    <w:tbl>
      <w:tblPr>
        <w:tblW w:w="3924" w:type="pct"/>
        <w:tblLook w:val="04A0" w:firstRow="1" w:lastRow="0" w:firstColumn="1" w:lastColumn="0" w:noHBand="0" w:noVBand="1"/>
      </w:tblPr>
      <w:tblGrid>
        <w:gridCol w:w="3832"/>
        <w:gridCol w:w="1822"/>
        <w:gridCol w:w="1824"/>
        <w:gridCol w:w="1822"/>
        <w:gridCol w:w="1824"/>
      </w:tblGrid>
      <w:tr w:rsidR="00CC7802" w:rsidRPr="00CC7802" w:rsidTr="00CC7802">
        <w:trPr>
          <w:trHeight w:val="780"/>
        </w:trPr>
        <w:tc>
          <w:tcPr>
            <w:tcW w:w="172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81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Maternity Leave</w:t>
            </w:r>
          </w:p>
        </w:tc>
        <w:tc>
          <w:tcPr>
            <w:tcW w:w="82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Paternity Leave</w:t>
            </w:r>
          </w:p>
        </w:tc>
        <w:tc>
          <w:tcPr>
            <w:tcW w:w="81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Total</w:t>
            </w:r>
          </w:p>
        </w:tc>
        <w:tc>
          <w:tcPr>
            <w:tcW w:w="82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 of employees</w:t>
            </w:r>
          </w:p>
        </w:tc>
      </w:tr>
      <w:tr w:rsidR="00474CEB" w:rsidRPr="005F1BC4" w:rsidTr="00505FA1">
        <w:trPr>
          <w:trHeight w:val="270"/>
        </w:trPr>
        <w:tc>
          <w:tcPr>
            <w:tcW w:w="1722"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Facilities Management</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6</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6</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1.1%</w:t>
            </w:r>
          </w:p>
        </w:tc>
      </w:tr>
      <w:tr w:rsidR="00474CEB" w:rsidRPr="005F1BC4" w:rsidTr="00505FA1">
        <w:trPr>
          <w:trHeight w:val="270"/>
        </w:trPr>
        <w:tc>
          <w:tcPr>
            <w:tcW w:w="1722"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Fleet &amp; Waste Services</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0.0%</w:t>
            </w:r>
          </w:p>
        </w:tc>
      </w:tr>
      <w:tr w:rsidR="00474CEB" w:rsidRPr="005F1BC4" w:rsidTr="00505FA1">
        <w:trPr>
          <w:trHeight w:val="270"/>
        </w:trPr>
        <w:tc>
          <w:tcPr>
            <w:tcW w:w="1722"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Greenspace</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0.0%</w:t>
            </w:r>
          </w:p>
        </w:tc>
      </w:tr>
      <w:tr w:rsidR="00474CEB" w:rsidRPr="005F1BC4" w:rsidTr="00505FA1">
        <w:trPr>
          <w:trHeight w:val="270"/>
        </w:trPr>
        <w:tc>
          <w:tcPr>
            <w:tcW w:w="1722" w:type="pct"/>
            <w:tcBorders>
              <w:top w:val="nil"/>
              <w:left w:val="single" w:sz="8" w:space="0" w:color="auto"/>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Roads &amp; Transportation</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w:t>
            </w:r>
          </w:p>
        </w:tc>
        <w:tc>
          <w:tcPr>
            <w:tcW w:w="819"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w:t>
            </w:r>
          </w:p>
        </w:tc>
        <w:tc>
          <w:tcPr>
            <w:tcW w:w="820" w:type="pct"/>
            <w:tcBorders>
              <w:top w:val="nil"/>
              <w:left w:val="nil"/>
              <w:bottom w:val="single" w:sz="8" w:space="0" w:color="auto"/>
              <w:right w:val="single" w:sz="8" w:space="0" w:color="auto"/>
            </w:tcBorders>
            <w:shd w:val="clear" w:color="auto" w:fill="auto"/>
            <w:vAlign w:val="center"/>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w:t>
            </w:r>
          </w:p>
        </w:tc>
      </w:tr>
      <w:tr w:rsidR="00CC7802" w:rsidRPr="00CC7802" w:rsidTr="00CC7802">
        <w:trPr>
          <w:trHeight w:val="525"/>
        </w:trPr>
        <w:tc>
          <w:tcPr>
            <w:tcW w:w="172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Environment &amp; Neighbourhood Total</w:t>
            </w:r>
          </w:p>
        </w:tc>
        <w:tc>
          <w:tcPr>
            <w:tcW w:w="819"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w:t>
            </w:r>
          </w:p>
        </w:tc>
        <w:tc>
          <w:tcPr>
            <w:tcW w:w="820"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0</w:t>
            </w:r>
          </w:p>
        </w:tc>
        <w:tc>
          <w:tcPr>
            <w:tcW w:w="819"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7</w:t>
            </w:r>
          </w:p>
        </w:tc>
        <w:tc>
          <w:tcPr>
            <w:tcW w:w="820" w:type="pct"/>
            <w:tcBorders>
              <w:top w:val="nil"/>
              <w:left w:val="nil"/>
              <w:bottom w:val="single" w:sz="8" w:space="0" w:color="auto"/>
              <w:right w:val="single" w:sz="8"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right"/>
              <w:rPr>
                <w:rFonts w:ascii="Arial" w:hAnsi="Arial" w:cs="Arial"/>
                <w:b/>
                <w:bCs/>
                <w:sz w:val="20"/>
                <w:szCs w:val="20"/>
              </w:rPr>
            </w:pPr>
            <w:r w:rsidRPr="00CC7802">
              <w:rPr>
                <w:rFonts w:ascii="Arial" w:hAnsi="Arial" w:cs="Arial"/>
                <w:b/>
                <w:bCs/>
                <w:sz w:val="20"/>
                <w:szCs w:val="20"/>
              </w:rPr>
              <w:t>0.7%</w:t>
            </w:r>
          </w:p>
        </w:tc>
      </w:tr>
    </w:tbl>
    <w:p w:rsidR="00BA11CF" w:rsidRDefault="00474CEB" w:rsidP="00BA11CF">
      <w:pPr>
        <w:spacing w:before="100" w:beforeAutospacing="1" w:after="0" w:line="240" w:lineRule="auto"/>
        <w:rPr>
          <w:rFonts w:ascii="Arial" w:hAnsi="Arial" w:cs="Arial"/>
          <w:b/>
          <w:noProof/>
        </w:rPr>
      </w:pPr>
      <w:r w:rsidRPr="002802F0">
        <w:rPr>
          <w:rFonts w:ascii="Arial" w:eastAsia="Calibri" w:hAnsi="Arial" w:cs="Arial"/>
        </w:rPr>
        <w:t>There has been no significant change in the number of employees who were off on maternity/paternity leave this year.</w:t>
      </w:r>
      <w:r w:rsidR="00BA11CF">
        <w:rPr>
          <w:rFonts w:ascii="Arial" w:eastAsia="Calibri" w:hAnsi="Arial" w:cs="Arial"/>
        </w:rPr>
        <w:t xml:space="preserve"> </w:t>
      </w:r>
      <w:r w:rsidRPr="002802F0">
        <w:rPr>
          <w:rFonts w:ascii="Arial" w:eastAsia="Calibri" w:hAnsi="Arial" w:cs="Arial"/>
        </w:rPr>
        <w:t>The numbers are reflective of the demographics of the workforce.</w:t>
      </w:r>
      <w:r w:rsidR="00BA11CF">
        <w:rPr>
          <w:rFonts w:ascii="Arial" w:hAnsi="Arial" w:cs="Arial"/>
          <w:b/>
          <w:noProof/>
        </w:rPr>
        <w:br w:type="page"/>
      </w:r>
    </w:p>
    <w:p w:rsidR="00474CEB" w:rsidRPr="007C3C3A" w:rsidRDefault="00474CEB" w:rsidP="0019210F">
      <w:pPr>
        <w:numPr>
          <w:ilvl w:val="0"/>
          <w:numId w:val="11"/>
        </w:numPr>
        <w:spacing w:before="100" w:beforeAutospacing="1" w:after="0" w:line="240" w:lineRule="auto"/>
        <w:rPr>
          <w:rFonts w:ascii="Arial" w:hAnsi="Arial" w:cs="Arial"/>
          <w:b/>
        </w:rPr>
      </w:pPr>
      <w:r w:rsidRPr="007C3C3A">
        <w:rPr>
          <w:rFonts w:ascii="Arial" w:hAnsi="Arial" w:cs="Arial"/>
          <w:b/>
          <w:noProof/>
        </w:rPr>
        <w:lastRenderedPageBreak/>
        <w:t>Sickness</w:t>
      </w:r>
      <w:r w:rsidRPr="007C3C3A">
        <w:rPr>
          <w:rFonts w:ascii="Arial" w:hAnsi="Arial" w:cs="Arial"/>
          <w:b/>
        </w:rPr>
        <w:t xml:space="preserve"> Absence</w:t>
      </w:r>
    </w:p>
    <w:tbl>
      <w:tblPr>
        <w:tblW w:w="4284" w:type="pct"/>
        <w:tblLook w:val="04A0" w:firstRow="1" w:lastRow="0" w:firstColumn="1" w:lastColumn="0" w:noHBand="0" w:noVBand="1"/>
      </w:tblPr>
      <w:tblGrid>
        <w:gridCol w:w="1060"/>
        <w:gridCol w:w="842"/>
        <w:gridCol w:w="842"/>
        <w:gridCol w:w="843"/>
        <w:gridCol w:w="887"/>
        <w:gridCol w:w="843"/>
        <w:gridCol w:w="741"/>
        <w:gridCol w:w="819"/>
        <w:gridCol w:w="865"/>
        <w:gridCol w:w="750"/>
        <w:gridCol w:w="797"/>
        <w:gridCol w:w="887"/>
        <w:gridCol w:w="819"/>
        <w:gridCol w:w="1149"/>
      </w:tblGrid>
      <w:tr w:rsidR="00CC7802" w:rsidRPr="00CC7802" w:rsidTr="00CC7802">
        <w:trPr>
          <w:cantSplit/>
          <w:trHeight w:val="255"/>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hideMark/>
          </w:tcPr>
          <w:p w:rsidR="00474CEB" w:rsidRPr="00CC7802" w:rsidRDefault="00474CEB" w:rsidP="00474CEB">
            <w:pPr>
              <w:spacing w:before="100" w:beforeAutospacing="1" w:after="0" w:line="240" w:lineRule="auto"/>
              <w:rPr>
                <w:rFonts w:ascii="Arial" w:hAnsi="Arial" w:cs="Arial"/>
                <w:b/>
                <w:bCs/>
                <w:sz w:val="20"/>
                <w:szCs w:val="20"/>
              </w:rPr>
            </w:pPr>
            <w:r w:rsidRPr="00CC7802">
              <w:rPr>
                <w:rFonts w:ascii="Arial" w:hAnsi="Arial" w:cs="Arial"/>
                <w:b/>
                <w:bCs/>
                <w:sz w:val="20"/>
                <w:szCs w:val="20"/>
              </w:rPr>
              <w:t> </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April</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May</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June</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July</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Aug</w:t>
            </w:r>
          </w:p>
        </w:tc>
        <w:tc>
          <w:tcPr>
            <w:tcW w:w="30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Sept</w:t>
            </w:r>
          </w:p>
        </w:tc>
        <w:tc>
          <w:tcPr>
            <w:tcW w:w="33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Oct</w:t>
            </w:r>
          </w:p>
        </w:tc>
        <w:tc>
          <w:tcPr>
            <w:tcW w:w="3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Nov</w:t>
            </w:r>
          </w:p>
        </w:tc>
        <w:tc>
          <w:tcPr>
            <w:tcW w:w="3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Dec</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Jan</w:t>
            </w:r>
          </w:p>
        </w:tc>
        <w:tc>
          <w:tcPr>
            <w:tcW w:w="3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Feb</w:t>
            </w:r>
          </w:p>
        </w:tc>
        <w:tc>
          <w:tcPr>
            <w:tcW w:w="33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Mar</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74CEB" w:rsidRPr="00CC7802" w:rsidRDefault="00474CEB" w:rsidP="00474CEB">
            <w:pPr>
              <w:spacing w:before="100" w:beforeAutospacing="1" w:after="0" w:line="240" w:lineRule="auto"/>
              <w:jc w:val="center"/>
              <w:rPr>
                <w:rFonts w:ascii="Arial" w:hAnsi="Arial" w:cs="Arial"/>
                <w:b/>
                <w:bCs/>
                <w:sz w:val="20"/>
                <w:szCs w:val="20"/>
              </w:rPr>
            </w:pPr>
            <w:r w:rsidRPr="00CC7802">
              <w:rPr>
                <w:rFonts w:ascii="Arial" w:hAnsi="Arial" w:cs="Arial"/>
                <w:b/>
                <w:bCs/>
                <w:sz w:val="20"/>
                <w:szCs w:val="20"/>
              </w:rPr>
              <w:t>Year End</w:t>
            </w:r>
          </w:p>
        </w:tc>
      </w:tr>
      <w:tr w:rsidR="00474CEB" w:rsidRPr="005F1BC4" w:rsidTr="00505FA1">
        <w:trPr>
          <w:trHeight w:val="255"/>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2015-16</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1.22</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1.09</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0.8</w:t>
            </w:r>
          </w:p>
        </w:tc>
        <w:tc>
          <w:tcPr>
            <w:tcW w:w="365"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0.68</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0.81</w:t>
            </w:r>
          </w:p>
        </w:tc>
        <w:tc>
          <w:tcPr>
            <w:tcW w:w="305"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1.09</w:t>
            </w:r>
          </w:p>
        </w:tc>
        <w:tc>
          <w:tcPr>
            <w:tcW w:w="33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1.04</w:t>
            </w:r>
          </w:p>
        </w:tc>
        <w:tc>
          <w:tcPr>
            <w:tcW w:w="356"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1.07</w:t>
            </w:r>
          </w:p>
        </w:tc>
        <w:tc>
          <w:tcPr>
            <w:tcW w:w="309"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1.01</w:t>
            </w:r>
          </w:p>
        </w:tc>
        <w:tc>
          <w:tcPr>
            <w:tcW w:w="328"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1.14</w:t>
            </w:r>
          </w:p>
        </w:tc>
        <w:tc>
          <w:tcPr>
            <w:tcW w:w="365"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1.22</w:t>
            </w:r>
          </w:p>
        </w:tc>
        <w:tc>
          <w:tcPr>
            <w:tcW w:w="33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1.03</w:t>
            </w:r>
          </w:p>
        </w:tc>
        <w:tc>
          <w:tcPr>
            <w:tcW w:w="473"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12.15</w:t>
            </w:r>
          </w:p>
        </w:tc>
      </w:tr>
      <w:tr w:rsidR="00474CEB" w:rsidRPr="005F1BC4" w:rsidTr="00505FA1">
        <w:trPr>
          <w:trHeight w:val="255"/>
        </w:trPr>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rPr>
                <w:rFonts w:ascii="Arial" w:hAnsi="Arial" w:cs="Arial"/>
                <w:color w:val="000000"/>
                <w:sz w:val="20"/>
                <w:szCs w:val="20"/>
              </w:rPr>
            </w:pPr>
            <w:r w:rsidRPr="005F1BC4">
              <w:rPr>
                <w:rFonts w:ascii="Arial" w:hAnsi="Arial" w:cs="Arial"/>
                <w:color w:val="000000"/>
                <w:sz w:val="20"/>
                <w:szCs w:val="20"/>
              </w:rPr>
              <w:t>2016-17</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0.85</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0.98</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0.78</w:t>
            </w:r>
          </w:p>
        </w:tc>
        <w:tc>
          <w:tcPr>
            <w:tcW w:w="365"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0.65</w:t>
            </w:r>
          </w:p>
        </w:tc>
        <w:tc>
          <w:tcPr>
            <w:tcW w:w="34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0.68</w:t>
            </w:r>
          </w:p>
        </w:tc>
        <w:tc>
          <w:tcPr>
            <w:tcW w:w="305"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0.85</w:t>
            </w:r>
          </w:p>
        </w:tc>
        <w:tc>
          <w:tcPr>
            <w:tcW w:w="33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0.86</w:t>
            </w:r>
          </w:p>
        </w:tc>
        <w:tc>
          <w:tcPr>
            <w:tcW w:w="356"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1.01</w:t>
            </w:r>
          </w:p>
        </w:tc>
        <w:tc>
          <w:tcPr>
            <w:tcW w:w="309"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0.97</w:t>
            </w:r>
          </w:p>
        </w:tc>
        <w:tc>
          <w:tcPr>
            <w:tcW w:w="328"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0.93</w:t>
            </w:r>
          </w:p>
        </w:tc>
        <w:tc>
          <w:tcPr>
            <w:tcW w:w="365"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0.93</w:t>
            </w:r>
          </w:p>
        </w:tc>
        <w:tc>
          <w:tcPr>
            <w:tcW w:w="337"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1.37</w:t>
            </w:r>
          </w:p>
        </w:tc>
        <w:tc>
          <w:tcPr>
            <w:tcW w:w="473" w:type="pct"/>
            <w:tcBorders>
              <w:top w:val="nil"/>
              <w:left w:val="nil"/>
              <w:bottom w:val="single" w:sz="4" w:space="0" w:color="auto"/>
              <w:right w:val="single" w:sz="4" w:space="0" w:color="auto"/>
            </w:tcBorders>
            <w:shd w:val="clear" w:color="auto" w:fill="auto"/>
            <w:noWrap/>
            <w:vAlign w:val="bottom"/>
            <w:hideMark/>
          </w:tcPr>
          <w:p w:rsidR="00474CEB" w:rsidRPr="005F1BC4" w:rsidRDefault="00474CEB" w:rsidP="00474CEB">
            <w:pPr>
              <w:spacing w:before="100" w:beforeAutospacing="1" w:after="0" w:line="240" w:lineRule="auto"/>
              <w:jc w:val="right"/>
              <w:rPr>
                <w:rFonts w:ascii="Arial" w:hAnsi="Arial" w:cs="Arial"/>
                <w:color w:val="000000"/>
                <w:sz w:val="20"/>
                <w:szCs w:val="20"/>
              </w:rPr>
            </w:pPr>
            <w:r w:rsidRPr="005F1BC4">
              <w:rPr>
                <w:rFonts w:ascii="Arial" w:hAnsi="Arial" w:cs="Arial"/>
                <w:color w:val="000000"/>
                <w:sz w:val="20"/>
                <w:szCs w:val="20"/>
              </w:rPr>
              <w:t>10.73</w:t>
            </w:r>
          </w:p>
        </w:tc>
      </w:tr>
    </w:tbl>
    <w:p w:rsidR="00474CEB" w:rsidRDefault="00474CEB" w:rsidP="00474CEB">
      <w:pPr>
        <w:spacing w:before="100" w:beforeAutospacing="1" w:after="0" w:line="240" w:lineRule="auto"/>
        <w:ind w:left="709" w:hanging="709"/>
        <w:rPr>
          <w:rFonts w:ascii="Arial" w:hAnsi="Arial" w:cs="Arial"/>
          <w:noProof/>
        </w:rPr>
      </w:pPr>
      <w:r>
        <w:rPr>
          <w:rFonts w:ascii="Arial" w:hAnsi="Arial" w:cs="Arial"/>
          <w:noProof/>
          <w:lang w:val="en-GB" w:eastAsia="en-GB"/>
        </w:rPr>
        <w:drawing>
          <wp:inline distT="0" distB="0" distL="0" distR="0" wp14:anchorId="67BDE0C7" wp14:editId="7A651EDC">
            <wp:extent cx="6083935" cy="2855595"/>
            <wp:effectExtent l="0" t="0" r="12065" b="2095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74CEB" w:rsidRPr="002802F0" w:rsidRDefault="00474CEB" w:rsidP="00474CEB">
      <w:pPr>
        <w:spacing w:before="100" w:beforeAutospacing="1" w:after="0" w:line="240" w:lineRule="auto"/>
        <w:rPr>
          <w:rFonts w:ascii="Arial" w:hAnsi="Arial" w:cs="Arial"/>
          <w:b/>
        </w:rPr>
      </w:pPr>
      <w:r w:rsidRPr="002802F0">
        <w:rPr>
          <w:rFonts w:ascii="Arial" w:hAnsi="Arial" w:cs="Arial"/>
        </w:rPr>
        <w:t xml:space="preserve">The graph details the monthly trend for the 12 month period (April 2016 – March 2017) in comparison to the same period in </w:t>
      </w:r>
      <w:r w:rsidR="00BA11CF">
        <w:rPr>
          <w:rFonts w:ascii="Arial" w:hAnsi="Arial" w:cs="Arial"/>
        </w:rPr>
        <w:t xml:space="preserve">2015-16. </w:t>
      </w:r>
      <w:r w:rsidRPr="002802F0">
        <w:rPr>
          <w:rFonts w:ascii="Arial" w:hAnsi="Arial" w:cs="Arial"/>
        </w:rPr>
        <w:t xml:space="preserve">Environment and Neighbourhood recorded absences of 10.73FTE days lost in 2016-17.  </w:t>
      </w:r>
      <w:r>
        <w:rPr>
          <w:rFonts w:ascii="Arial" w:hAnsi="Arial" w:cs="Arial"/>
        </w:rPr>
        <w:t>Albeit t</w:t>
      </w:r>
      <w:r w:rsidRPr="002802F0">
        <w:rPr>
          <w:rFonts w:ascii="Arial" w:hAnsi="Arial" w:cs="Arial"/>
        </w:rPr>
        <w:t>here has been a significant improvement in attendance this year with a recorded reduction of 14.22% on the previous year</w:t>
      </w:r>
      <w:r>
        <w:rPr>
          <w:rFonts w:ascii="Arial" w:hAnsi="Arial" w:cs="Arial"/>
        </w:rPr>
        <w:t xml:space="preserve">, the </w:t>
      </w:r>
      <w:r w:rsidRPr="002802F0">
        <w:rPr>
          <w:rFonts w:ascii="Arial" w:hAnsi="Arial" w:cs="Arial"/>
        </w:rPr>
        <w:t>target of 8 FTE days lost per employee</w:t>
      </w:r>
      <w:r>
        <w:rPr>
          <w:rFonts w:ascii="Arial" w:hAnsi="Arial" w:cs="Arial"/>
        </w:rPr>
        <w:t xml:space="preserve"> was not achieved</w:t>
      </w:r>
      <w:r w:rsidRPr="002802F0">
        <w:rPr>
          <w:rFonts w:ascii="Arial" w:hAnsi="Arial" w:cs="Arial"/>
        </w:rPr>
        <w:t>.</w:t>
      </w:r>
    </w:p>
    <w:sectPr w:rsidR="00474CEB" w:rsidRPr="002802F0" w:rsidSect="00474CEB">
      <w:footerReference w:type="default" r:id="rId2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B" w:rsidRDefault="00474CEB">
      <w:r>
        <w:separator/>
      </w:r>
    </w:p>
  </w:endnote>
  <w:endnote w:type="continuationSeparator" w:id="0">
    <w:p w:rsidR="00474CEB" w:rsidRDefault="0047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B" w:rsidRDefault="00474CEB" w:rsidP="009C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CEB" w:rsidRDefault="0047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B" w:rsidRDefault="00474CEB" w:rsidP="009C2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E0B">
      <w:rPr>
        <w:rStyle w:val="PageNumber"/>
        <w:noProof/>
      </w:rPr>
      <w:t>18</w:t>
    </w:r>
    <w:r>
      <w:rPr>
        <w:rStyle w:val="PageNumber"/>
      </w:rPr>
      <w:fldChar w:fldCharType="end"/>
    </w:r>
  </w:p>
  <w:p w:rsidR="00474CEB" w:rsidRDefault="00474CEB">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B" w:rsidRDefault="00474CEB">
    <w:pPr>
      <w:pStyle w:val="Footer"/>
    </w:pPr>
    <w:r>
      <w:fldChar w:fldCharType="begin"/>
    </w:r>
    <w:r>
      <w:instrText xml:space="preserve"> PAGE   \* MERGEFORMAT </w:instrText>
    </w:r>
    <w:r>
      <w:fldChar w:fldCharType="separate"/>
    </w:r>
    <w:r w:rsidR="00E31E0B">
      <w:rPr>
        <w:noProof/>
      </w:rPr>
      <w:t>37</w:t>
    </w:r>
    <w:r>
      <w:fldChar w:fldCharType="end"/>
    </w:r>
  </w:p>
  <w:p w:rsidR="00474CEB" w:rsidRDefault="00474CE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B" w:rsidRDefault="00474CEB">
      <w:r>
        <w:separator/>
      </w:r>
    </w:p>
  </w:footnote>
  <w:footnote w:type="continuationSeparator" w:id="0">
    <w:p w:rsidR="00474CEB" w:rsidRDefault="00474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A5"/>
    <w:multiLevelType w:val="hybridMultilevel"/>
    <w:tmpl w:val="24F41A22"/>
    <w:lvl w:ilvl="0" w:tplc="73F0206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7048C4"/>
    <w:multiLevelType w:val="hybridMultilevel"/>
    <w:tmpl w:val="FF7260EC"/>
    <w:lvl w:ilvl="0" w:tplc="C6A682F2">
      <w:start w:val="1"/>
      <w:numFmt w:val="bullet"/>
      <w:lvlText w:val=""/>
      <w:lvlJc w:val="left"/>
      <w:pPr>
        <w:ind w:left="360" w:hanging="360"/>
      </w:pPr>
      <w:rPr>
        <w:rFonts w:ascii="Symbol" w:hAnsi="Symbol" w:hint="default"/>
        <w:color w:val="00206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A0C4110"/>
    <w:multiLevelType w:val="hybridMultilevel"/>
    <w:tmpl w:val="3C48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E643C7"/>
    <w:multiLevelType w:val="hybridMultilevel"/>
    <w:tmpl w:val="74B4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356FE"/>
    <w:multiLevelType w:val="hybridMultilevel"/>
    <w:tmpl w:val="CD1664AA"/>
    <w:lvl w:ilvl="0" w:tplc="4EEE7D7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A57912"/>
    <w:multiLevelType w:val="hybridMultilevel"/>
    <w:tmpl w:val="195C4D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75F1385"/>
    <w:multiLevelType w:val="hybridMultilevel"/>
    <w:tmpl w:val="76700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B170D3"/>
    <w:multiLevelType w:val="hybridMultilevel"/>
    <w:tmpl w:val="3B22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36477C"/>
    <w:multiLevelType w:val="hybridMultilevel"/>
    <w:tmpl w:val="A0240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0DA5A5A"/>
    <w:multiLevelType w:val="hybridMultilevel"/>
    <w:tmpl w:val="023859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7E9D0E42"/>
    <w:multiLevelType w:val="hybridMultilevel"/>
    <w:tmpl w:val="7D1889D0"/>
    <w:lvl w:ilvl="0" w:tplc="E3945B14">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6"/>
  </w:num>
  <w:num w:numId="6">
    <w:abstractNumId w:val="1"/>
  </w:num>
  <w:num w:numId="7">
    <w:abstractNumId w:val="8"/>
  </w:num>
  <w:num w:numId="8">
    <w:abstractNumId w:val="2"/>
  </w:num>
  <w:num w:numId="9">
    <w:abstractNumId w:val="3"/>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characterSpacingControl w:val="doNotCompress"/>
  <w:hdrShapeDefaults>
    <o:shapedefaults v:ext="edit" spidmax="16385" fillcolor="#9cf" strokecolor="navy">
      <v:fill color="#9cf" opacity="19005f"/>
      <v:stroke color="navy" weight="0" insetpen="t">
        <o:left v:ext="view" color="navy" insetpen="t"/>
        <o:top v:ext="view" color="navy" insetpen="t"/>
        <o:right v:ext="view" color="navy" insetpen="t"/>
        <o:bottom v:ext="view" color="navy" insetpen="t"/>
      </v:stroke>
      <v:shadow color="#ccc"/>
      <v:textbox style="mso-column-margin:2mm" inset="2.88pt,2.88pt,2.88pt,2.88pt"/>
      <o:colormru v:ext="edit" colors="#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28"/>
    <w:rsid w:val="000007AF"/>
    <w:rsid w:val="000009C9"/>
    <w:rsid w:val="00000AC9"/>
    <w:rsid w:val="00000B83"/>
    <w:rsid w:val="00001402"/>
    <w:rsid w:val="0000328B"/>
    <w:rsid w:val="00003B2E"/>
    <w:rsid w:val="00003E5A"/>
    <w:rsid w:val="00006069"/>
    <w:rsid w:val="00006EDD"/>
    <w:rsid w:val="00007232"/>
    <w:rsid w:val="0001115A"/>
    <w:rsid w:val="000112A5"/>
    <w:rsid w:val="0001139A"/>
    <w:rsid w:val="00011DE2"/>
    <w:rsid w:val="000122CD"/>
    <w:rsid w:val="000122CF"/>
    <w:rsid w:val="00012991"/>
    <w:rsid w:val="00012996"/>
    <w:rsid w:val="00012D3D"/>
    <w:rsid w:val="00012F93"/>
    <w:rsid w:val="000131BB"/>
    <w:rsid w:val="000137D0"/>
    <w:rsid w:val="00013F1A"/>
    <w:rsid w:val="00014108"/>
    <w:rsid w:val="00014302"/>
    <w:rsid w:val="00014446"/>
    <w:rsid w:val="00015400"/>
    <w:rsid w:val="00015D68"/>
    <w:rsid w:val="00020931"/>
    <w:rsid w:val="000213A4"/>
    <w:rsid w:val="00021D23"/>
    <w:rsid w:val="0002380E"/>
    <w:rsid w:val="00023E5C"/>
    <w:rsid w:val="00024051"/>
    <w:rsid w:val="0002409C"/>
    <w:rsid w:val="0002438C"/>
    <w:rsid w:val="00024BE8"/>
    <w:rsid w:val="00024DA4"/>
    <w:rsid w:val="00025153"/>
    <w:rsid w:val="000253A9"/>
    <w:rsid w:val="000259FB"/>
    <w:rsid w:val="00025B59"/>
    <w:rsid w:val="000264B6"/>
    <w:rsid w:val="00026816"/>
    <w:rsid w:val="000270E6"/>
    <w:rsid w:val="000271DA"/>
    <w:rsid w:val="000272E1"/>
    <w:rsid w:val="00027F96"/>
    <w:rsid w:val="0003195F"/>
    <w:rsid w:val="0003198E"/>
    <w:rsid w:val="00031B0F"/>
    <w:rsid w:val="000322B5"/>
    <w:rsid w:val="000324C6"/>
    <w:rsid w:val="0003271F"/>
    <w:rsid w:val="00033D32"/>
    <w:rsid w:val="000355DE"/>
    <w:rsid w:val="000368FD"/>
    <w:rsid w:val="00036905"/>
    <w:rsid w:val="00036AAF"/>
    <w:rsid w:val="00036D30"/>
    <w:rsid w:val="000374AA"/>
    <w:rsid w:val="0004006D"/>
    <w:rsid w:val="000400AB"/>
    <w:rsid w:val="0004039C"/>
    <w:rsid w:val="00040916"/>
    <w:rsid w:val="00040A31"/>
    <w:rsid w:val="000423B9"/>
    <w:rsid w:val="00042B3D"/>
    <w:rsid w:val="00042CAE"/>
    <w:rsid w:val="00043907"/>
    <w:rsid w:val="00043CF8"/>
    <w:rsid w:val="000442ED"/>
    <w:rsid w:val="000442FA"/>
    <w:rsid w:val="00044AB2"/>
    <w:rsid w:val="00044EFF"/>
    <w:rsid w:val="00045686"/>
    <w:rsid w:val="00045DFF"/>
    <w:rsid w:val="000460F4"/>
    <w:rsid w:val="00046AD1"/>
    <w:rsid w:val="00046F8F"/>
    <w:rsid w:val="0004747F"/>
    <w:rsid w:val="00047FC9"/>
    <w:rsid w:val="0005038F"/>
    <w:rsid w:val="0005160B"/>
    <w:rsid w:val="00051BCD"/>
    <w:rsid w:val="00051EDA"/>
    <w:rsid w:val="00053336"/>
    <w:rsid w:val="00053AD9"/>
    <w:rsid w:val="00053C78"/>
    <w:rsid w:val="00054366"/>
    <w:rsid w:val="00054A80"/>
    <w:rsid w:val="00054F65"/>
    <w:rsid w:val="00055925"/>
    <w:rsid w:val="00056155"/>
    <w:rsid w:val="000564F4"/>
    <w:rsid w:val="000565E4"/>
    <w:rsid w:val="000569E9"/>
    <w:rsid w:val="00056DDD"/>
    <w:rsid w:val="00057AFA"/>
    <w:rsid w:val="00060A68"/>
    <w:rsid w:val="00062970"/>
    <w:rsid w:val="00062E59"/>
    <w:rsid w:val="00063429"/>
    <w:rsid w:val="000642A1"/>
    <w:rsid w:val="0006433C"/>
    <w:rsid w:val="00064C8C"/>
    <w:rsid w:val="00065A53"/>
    <w:rsid w:val="00065BA7"/>
    <w:rsid w:val="000667FD"/>
    <w:rsid w:val="00066894"/>
    <w:rsid w:val="00067113"/>
    <w:rsid w:val="0006716A"/>
    <w:rsid w:val="00067321"/>
    <w:rsid w:val="00067826"/>
    <w:rsid w:val="00067C76"/>
    <w:rsid w:val="00067CDC"/>
    <w:rsid w:val="00070077"/>
    <w:rsid w:val="0007036A"/>
    <w:rsid w:val="000703F2"/>
    <w:rsid w:val="00070419"/>
    <w:rsid w:val="00071054"/>
    <w:rsid w:val="00071219"/>
    <w:rsid w:val="00072B36"/>
    <w:rsid w:val="000733C0"/>
    <w:rsid w:val="000735DB"/>
    <w:rsid w:val="0007480E"/>
    <w:rsid w:val="00074C1B"/>
    <w:rsid w:val="00074EF2"/>
    <w:rsid w:val="00075B27"/>
    <w:rsid w:val="00077350"/>
    <w:rsid w:val="00077677"/>
    <w:rsid w:val="00077982"/>
    <w:rsid w:val="00077F22"/>
    <w:rsid w:val="0008000E"/>
    <w:rsid w:val="00081081"/>
    <w:rsid w:val="00081380"/>
    <w:rsid w:val="000817BB"/>
    <w:rsid w:val="00081812"/>
    <w:rsid w:val="00081F64"/>
    <w:rsid w:val="00082467"/>
    <w:rsid w:val="000828D3"/>
    <w:rsid w:val="00082BDD"/>
    <w:rsid w:val="00083905"/>
    <w:rsid w:val="000841C6"/>
    <w:rsid w:val="000845B4"/>
    <w:rsid w:val="000845B8"/>
    <w:rsid w:val="000848B3"/>
    <w:rsid w:val="0008548C"/>
    <w:rsid w:val="00085E38"/>
    <w:rsid w:val="000862FE"/>
    <w:rsid w:val="000869AB"/>
    <w:rsid w:val="00086CDB"/>
    <w:rsid w:val="0008738B"/>
    <w:rsid w:val="00087BC9"/>
    <w:rsid w:val="00090436"/>
    <w:rsid w:val="0009053F"/>
    <w:rsid w:val="00090813"/>
    <w:rsid w:val="00091A86"/>
    <w:rsid w:val="00092627"/>
    <w:rsid w:val="000926AC"/>
    <w:rsid w:val="000930D5"/>
    <w:rsid w:val="000937E6"/>
    <w:rsid w:val="0009463C"/>
    <w:rsid w:val="000949A4"/>
    <w:rsid w:val="00094AF6"/>
    <w:rsid w:val="00094F30"/>
    <w:rsid w:val="000953C5"/>
    <w:rsid w:val="00095C8D"/>
    <w:rsid w:val="00096572"/>
    <w:rsid w:val="00096928"/>
    <w:rsid w:val="00096AA9"/>
    <w:rsid w:val="00096CFE"/>
    <w:rsid w:val="00096DBB"/>
    <w:rsid w:val="000977BB"/>
    <w:rsid w:val="000977ED"/>
    <w:rsid w:val="000A0AA4"/>
    <w:rsid w:val="000A19E6"/>
    <w:rsid w:val="000A1CE2"/>
    <w:rsid w:val="000A1DFA"/>
    <w:rsid w:val="000A30A4"/>
    <w:rsid w:val="000A4468"/>
    <w:rsid w:val="000A4A41"/>
    <w:rsid w:val="000A4C4C"/>
    <w:rsid w:val="000A53EA"/>
    <w:rsid w:val="000A633C"/>
    <w:rsid w:val="000A72DA"/>
    <w:rsid w:val="000A7FB3"/>
    <w:rsid w:val="000B0C30"/>
    <w:rsid w:val="000B0CDD"/>
    <w:rsid w:val="000B0DC9"/>
    <w:rsid w:val="000B1866"/>
    <w:rsid w:val="000B1BBF"/>
    <w:rsid w:val="000B2527"/>
    <w:rsid w:val="000B27BD"/>
    <w:rsid w:val="000B2C25"/>
    <w:rsid w:val="000B2C75"/>
    <w:rsid w:val="000B2F3A"/>
    <w:rsid w:val="000B2F48"/>
    <w:rsid w:val="000B3A4C"/>
    <w:rsid w:val="000B3D5C"/>
    <w:rsid w:val="000B52C8"/>
    <w:rsid w:val="000B5314"/>
    <w:rsid w:val="000B5408"/>
    <w:rsid w:val="000B587A"/>
    <w:rsid w:val="000B5B12"/>
    <w:rsid w:val="000B5E22"/>
    <w:rsid w:val="000B6A29"/>
    <w:rsid w:val="000B6CC4"/>
    <w:rsid w:val="000B760B"/>
    <w:rsid w:val="000B7EC1"/>
    <w:rsid w:val="000C07EA"/>
    <w:rsid w:val="000C0B4D"/>
    <w:rsid w:val="000C1BC0"/>
    <w:rsid w:val="000C228A"/>
    <w:rsid w:val="000C2CBF"/>
    <w:rsid w:val="000C2F0F"/>
    <w:rsid w:val="000C3CB1"/>
    <w:rsid w:val="000C4020"/>
    <w:rsid w:val="000C4F6F"/>
    <w:rsid w:val="000C4F9E"/>
    <w:rsid w:val="000C5485"/>
    <w:rsid w:val="000C5948"/>
    <w:rsid w:val="000C625D"/>
    <w:rsid w:val="000C6387"/>
    <w:rsid w:val="000C6895"/>
    <w:rsid w:val="000C729B"/>
    <w:rsid w:val="000C78F0"/>
    <w:rsid w:val="000C79DF"/>
    <w:rsid w:val="000D05E4"/>
    <w:rsid w:val="000D0C31"/>
    <w:rsid w:val="000D12E1"/>
    <w:rsid w:val="000D13A3"/>
    <w:rsid w:val="000D1A68"/>
    <w:rsid w:val="000D29E3"/>
    <w:rsid w:val="000D2EED"/>
    <w:rsid w:val="000D3FCB"/>
    <w:rsid w:val="000D40EC"/>
    <w:rsid w:val="000D47BD"/>
    <w:rsid w:val="000D4CC8"/>
    <w:rsid w:val="000D4EE1"/>
    <w:rsid w:val="000D5A00"/>
    <w:rsid w:val="000D5D53"/>
    <w:rsid w:val="000D5DA9"/>
    <w:rsid w:val="000D6C12"/>
    <w:rsid w:val="000D7AC7"/>
    <w:rsid w:val="000D7C59"/>
    <w:rsid w:val="000D7CC8"/>
    <w:rsid w:val="000E0097"/>
    <w:rsid w:val="000E0157"/>
    <w:rsid w:val="000E0883"/>
    <w:rsid w:val="000E0F6C"/>
    <w:rsid w:val="000E2228"/>
    <w:rsid w:val="000E26D2"/>
    <w:rsid w:val="000E2B77"/>
    <w:rsid w:val="000E3530"/>
    <w:rsid w:val="000E3682"/>
    <w:rsid w:val="000E3717"/>
    <w:rsid w:val="000E3991"/>
    <w:rsid w:val="000E42B3"/>
    <w:rsid w:val="000E4681"/>
    <w:rsid w:val="000E485E"/>
    <w:rsid w:val="000E548B"/>
    <w:rsid w:val="000E568F"/>
    <w:rsid w:val="000E5AE8"/>
    <w:rsid w:val="000E6174"/>
    <w:rsid w:val="000E6F01"/>
    <w:rsid w:val="000E6F90"/>
    <w:rsid w:val="000F0261"/>
    <w:rsid w:val="000F0536"/>
    <w:rsid w:val="000F0674"/>
    <w:rsid w:val="000F0692"/>
    <w:rsid w:val="000F1717"/>
    <w:rsid w:val="000F1B78"/>
    <w:rsid w:val="000F21BA"/>
    <w:rsid w:val="000F29B1"/>
    <w:rsid w:val="000F29BE"/>
    <w:rsid w:val="000F2BA4"/>
    <w:rsid w:val="000F35CA"/>
    <w:rsid w:val="000F35F6"/>
    <w:rsid w:val="000F47FA"/>
    <w:rsid w:val="000F4B4B"/>
    <w:rsid w:val="000F4DF1"/>
    <w:rsid w:val="000F54FA"/>
    <w:rsid w:val="000F5D51"/>
    <w:rsid w:val="000F5E57"/>
    <w:rsid w:val="000F6117"/>
    <w:rsid w:val="000F6129"/>
    <w:rsid w:val="000F66F5"/>
    <w:rsid w:val="000F684A"/>
    <w:rsid w:val="000F6D46"/>
    <w:rsid w:val="000F6F9D"/>
    <w:rsid w:val="000F733F"/>
    <w:rsid w:val="000F7455"/>
    <w:rsid w:val="000F76F4"/>
    <w:rsid w:val="000F7A2A"/>
    <w:rsid w:val="0010014D"/>
    <w:rsid w:val="0010021D"/>
    <w:rsid w:val="00100286"/>
    <w:rsid w:val="0010033F"/>
    <w:rsid w:val="001009B5"/>
    <w:rsid w:val="00100A1A"/>
    <w:rsid w:val="00100FB5"/>
    <w:rsid w:val="0010108C"/>
    <w:rsid w:val="001013B5"/>
    <w:rsid w:val="0010140B"/>
    <w:rsid w:val="0010156F"/>
    <w:rsid w:val="00101F11"/>
    <w:rsid w:val="00102513"/>
    <w:rsid w:val="00103257"/>
    <w:rsid w:val="001032C9"/>
    <w:rsid w:val="00103B82"/>
    <w:rsid w:val="00103F3E"/>
    <w:rsid w:val="0010411F"/>
    <w:rsid w:val="0010413A"/>
    <w:rsid w:val="001045C9"/>
    <w:rsid w:val="00105201"/>
    <w:rsid w:val="001052B7"/>
    <w:rsid w:val="001068DF"/>
    <w:rsid w:val="0010708E"/>
    <w:rsid w:val="00107EFC"/>
    <w:rsid w:val="0011009A"/>
    <w:rsid w:val="00111171"/>
    <w:rsid w:val="00111AA2"/>
    <w:rsid w:val="00111DCC"/>
    <w:rsid w:val="0011229F"/>
    <w:rsid w:val="0011249C"/>
    <w:rsid w:val="001144F8"/>
    <w:rsid w:val="0011450C"/>
    <w:rsid w:val="001145B7"/>
    <w:rsid w:val="0011462D"/>
    <w:rsid w:val="0011529A"/>
    <w:rsid w:val="00115533"/>
    <w:rsid w:val="00116963"/>
    <w:rsid w:val="00117653"/>
    <w:rsid w:val="001179CB"/>
    <w:rsid w:val="00117D2C"/>
    <w:rsid w:val="00120FD7"/>
    <w:rsid w:val="0012174F"/>
    <w:rsid w:val="00121B82"/>
    <w:rsid w:val="0012200E"/>
    <w:rsid w:val="00122914"/>
    <w:rsid w:val="00122D56"/>
    <w:rsid w:val="00122D8F"/>
    <w:rsid w:val="00122F1C"/>
    <w:rsid w:val="001230DE"/>
    <w:rsid w:val="001236AA"/>
    <w:rsid w:val="00124554"/>
    <w:rsid w:val="00124E52"/>
    <w:rsid w:val="00124F57"/>
    <w:rsid w:val="00125046"/>
    <w:rsid w:val="001252EF"/>
    <w:rsid w:val="001253C3"/>
    <w:rsid w:val="001259C4"/>
    <w:rsid w:val="00125BA5"/>
    <w:rsid w:val="00126284"/>
    <w:rsid w:val="001268A7"/>
    <w:rsid w:val="001303AF"/>
    <w:rsid w:val="001306CD"/>
    <w:rsid w:val="00130B38"/>
    <w:rsid w:val="00131223"/>
    <w:rsid w:val="00131634"/>
    <w:rsid w:val="00132534"/>
    <w:rsid w:val="0013481B"/>
    <w:rsid w:val="00134DDC"/>
    <w:rsid w:val="00134F70"/>
    <w:rsid w:val="001356FB"/>
    <w:rsid w:val="00135713"/>
    <w:rsid w:val="001357EB"/>
    <w:rsid w:val="00135F92"/>
    <w:rsid w:val="001363EC"/>
    <w:rsid w:val="00136C4A"/>
    <w:rsid w:val="0013717D"/>
    <w:rsid w:val="00137347"/>
    <w:rsid w:val="001373C5"/>
    <w:rsid w:val="0013761B"/>
    <w:rsid w:val="00140D61"/>
    <w:rsid w:val="0014137E"/>
    <w:rsid w:val="00141646"/>
    <w:rsid w:val="0014196C"/>
    <w:rsid w:val="0014199F"/>
    <w:rsid w:val="001421A8"/>
    <w:rsid w:val="001430FE"/>
    <w:rsid w:val="001431F4"/>
    <w:rsid w:val="00143600"/>
    <w:rsid w:val="0014374F"/>
    <w:rsid w:val="00143E21"/>
    <w:rsid w:val="001445BB"/>
    <w:rsid w:val="00146757"/>
    <w:rsid w:val="001469B2"/>
    <w:rsid w:val="00146D8A"/>
    <w:rsid w:val="00146E75"/>
    <w:rsid w:val="00147149"/>
    <w:rsid w:val="00147E39"/>
    <w:rsid w:val="00150776"/>
    <w:rsid w:val="00150F00"/>
    <w:rsid w:val="00151903"/>
    <w:rsid w:val="00152176"/>
    <w:rsid w:val="00152705"/>
    <w:rsid w:val="00152839"/>
    <w:rsid w:val="001528DF"/>
    <w:rsid w:val="00152B3A"/>
    <w:rsid w:val="001531AD"/>
    <w:rsid w:val="001531E2"/>
    <w:rsid w:val="001538ED"/>
    <w:rsid w:val="001541CC"/>
    <w:rsid w:val="00154529"/>
    <w:rsid w:val="00155444"/>
    <w:rsid w:val="00155A45"/>
    <w:rsid w:val="001573F5"/>
    <w:rsid w:val="001578CD"/>
    <w:rsid w:val="00157ABE"/>
    <w:rsid w:val="00157B62"/>
    <w:rsid w:val="0016084D"/>
    <w:rsid w:val="00161E0F"/>
    <w:rsid w:val="0016203E"/>
    <w:rsid w:val="0016343F"/>
    <w:rsid w:val="0016344B"/>
    <w:rsid w:val="001639F2"/>
    <w:rsid w:val="00164578"/>
    <w:rsid w:val="001649F6"/>
    <w:rsid w:val="00165A6F"/>
    <w:rsid w:val="00165C01"/>
    <w:rsid w:val="00165C96"/>
    <w:rsid w:val="001667DD"/>
    <w:rsid w:val="00166927"/>
    <w:rsid w:val="00166E9D"/>
    <w:rsid w:val="00167348"/>
    <w:rsid w:val="0017009D"/>
    <w:rsid w:val="00170411"/>
    <w:rsid w:val="0017101C"/>
    <w:rsid w:val="001717FB"/>
    <w:rsid w:val="00171942"/>
    <w:rsid w:val="00171972"/>
    <w:rsid w:val="00171A0F"/>
    <w:rsid w:val="00172028"/>
    <w:rsid w:val="0017232D"/>
    <w:rsid w:val="00173187"/>
    <w:rsid w:val="00173707"/>
    <w:rsid w:val="00173950"/>
    <w:rsid w:val="00173DA5"/>
    <w:rsid w:val="0017488E"/>
    <w:rsid w:val="00174899"/>
    <w:rsid w:val="00174B4B"/>
    <w:rsid w:val="001751ED"/>
    <w:rsid w:val="00175AF0"/>
    <w:rsid w:val="00176A6C"/>
    <w:rsid w:val="00177336"/>
    <w:rsid w:val="00177D6A"/>
    <w:rsid w:val="00180C84"/>
    <w:rsid w:val="00180D9F"/>
    <w:rsid w:val="00181283"/>
    <w:rsid w:val="0018213C"/>
    <w:rsid w:val="001821F2"/>
    <w:rsid w:val="001826BC"/>
    <w:rsid w:val="0018300E"/>
    <w:rsid w:val="00183081"/>
    <w:rsid w:val="0018341D"/>
    <w:rsid w:val="001837A0"/>
    <w:rsid w:val="00183D74"/>
    <w:rsid w:val="0018419D"/>
    <w:rsid w:val="001846D1"/>
    <w:rsid w:val="001847D9"/>
    <w:rsid w:val="00184E0A"/>
    <w:rsid w:val="001853D2"/>
    <w:rsid w:val="00185BD4"/>
    <w:rsid w:val="00185D9D"/>
    <w:rsid w:val="00187104"/>
    <w:rsid w:val="001876B2"/>
    <w:rsid w:val="0018777E"/>
    <w:rsid w:val="00187AFE"/>
    <w:rsid w:val="00187F9E"/>
    <w:rsid w:val="00190052"/>
    <w:rsid w:val="0019022C"/>
    <w:rsid w:val="001904FE"/>
    <w:rsid w:val="00190C60"/>
    <w:rsid w:val="0019210F"/>
    <w:rsid w:val="0019226E"/>
    <w:rsid w:val="00192A07"/>
    <w:rsid w:val="00192C93"/>
    <w:rsid w:val="00193185"/>
    <w:rsid w:val="00193482"/>
    <w:rsid w:val="00193850"/>
    <w:rsid w:val="00193BC6"/>
    <w:rsid w:val="00193C44"/>
    <w:rsid w:val="00194418"/>
    <w:rsid w:val="001944D9"/>
    <w:rsid w:val="00194F94"/>
    <w:rsid w:val="00195B02"/>
    <w:rsid w:val="00195B7E"/>
    <w:rsid w:val="00195DEF"/>
    <w:rsid w:val="00196896"/>
    <w:rsid w:val="0019762C"/>
    <w:rsid w:val="00197FEA"/>
    <w:rsid w:val="001A059A"/>
    <w:rsid w:val="001A0D2A"/>
    <w:rsid w:val="001A10F0"/>
    <w:rsid w:val="001A11CF"/>
    <w:rsid w:val="001A13CF"/>
    <w:rsid w:val="001A18D0"/>
    <w:rsid w:val="001A1E16"/>
    <w:rsid w:val="001A2385"/>
    <w:rsid w:val="001A3126"/>
    <w:rsid w:val="001A31CE"/>
    <w:rsid w:val="001A365E"/>
    <w:rsid w:val="001A426D"/>
    <w:rsid w:val="001A474D"/>
    <w:rsid w:val="001A48CB"/>
    <w:rsid w:val="001A491B"/>
    <w:rsid w:val="001A519E"/>
    <w:rsid w:val="001A66E8"/>
    <w:rsid w:val="001A683B"/>
    <w:rsid w:val="001A73C5"/>
    <w:rsid w:val="001A7E09"/>
    <w:rsid w:val="001B0A38"/>
    <w:rsid w:val="001B10B8"/>
    <w:rsid w:val="001B12CF"/>
    <w:rsid w:val="001B13FC"/>
    <w:rsid w:val="001B15FD"/>
    <w:rsid w:val="001B1BB9"/>
    <w:rsid w:val="001B280F"/>
    <w:rsid w:val="001B282D"/>
    <w:rsid w:val="001B2AAE"/>
    <w:rsid w:val="001B3143"/>
    <w:rsid w:val="001B3852"/>
    <w:rsid w:val="001B3CA5"/>
    <w:rsid w:val="001B4AA0"/>
    <w:rsid w:val="001B4CFF"/>
    <w:rsid w:val="001B6110"/>
    <w:rsid w:val="001B667D"/>
    <w:rsid w:val="001B678E"/>
    <w:rsid w:val="001B6ADC"/>
    <w:rsid w:val="001B76FA"/>
    <w:rsid w:val="001B771D"/>
    <w:rsid w:val="001C041D"/>
    <w:rsid w:val="001C063D"/>
    <w:rsid w:val="001C0F60"/>
    <w:rsid w:val="001C1528"/>
    <w:rsid w:val="001C2665"/>
    <w:rsid w:val="001C2AA3"/>
    <w:rsid w:val="001C2F2E"/>
    <w:rsid w:val="001C313B"/>
    <w:rsid w:val="001C347A"/>
    <w:rsid w:val="001C3C94"/>
    <w:rsid w:val="001C419F"/>
    <w:rsid w:val="001C5AAB"/>
    <w:rsid w:val="001C61B0"/>
    <w:rsid w:val="001C63EC"/>
    <w:rsid w:val="001C641D"/>
    <w:rsid w:val="001C65FC"/>
    <w:rsid w:val="001C7EEE"/>
    <w:rsid w:val="001D08DD"/>
    <w:rsid w:val="001D17B7"/>
    <w:rsid w:val="001D220A"/>
    <w:rsid w:val="001D22E5"/>
    <w:rsid w:val="001D2A9C"/>
    <w:rsid w:val="001D339F"/>
    <w:rsid w:val="001D3BFE"/>
    <w:rsid w:val="001D3CDA"/>
    <w:rsid w:val="001D3D32"/>
    <w:rsid w:val="001D3E83"/>
    <w:rsid w:val="001D423E"/>
    <w:rsid w:val="001D43A6"/>
    <w:rsid w:val="001D43E5"/>
    <w:rsid w:val="001D45C7"/>
    <w:rsid w:val="001D4F5C"/>
    <w:rsid w:val="001D548E"/>
    <w:rsid w:val="001D5676"/>
    <w:rsid w:val="001D58A5"/>
    <w:rsid w:val="001D7240"/>
    <w:rsid w:val="001E0334"/>
    <w:rsid w:val="001E0940"/>
    <w:rsid w:val="001E0E28"/>
    <w:rsid w:val="001E1B04"/>
    <w:rsid w:val="001E235B"/>
    <w:rsid w:val="001E26A1"/>
    <w:rsid w:val="001E2F36"/>
    <w:rsid w:val="001E4E19"/>
    <w:rsid w:val="001E5369"/>
    <w:rsid w:val="001E53FB"/>
    <w:rsid w:val="001E5655"/>
    <w:rsid w:val="001E6295"/>
    <w:rsid w:val="001E6525"/>
    <w:rsid w:val="001E6602"/>
    <w:rsid w:val="001E6829"/>
    <w:rsid w:val="001E6AE1"/>
    <w:rsid w:val="001E6D93"/>
    <w:rsid w:val="001E6DAA"/>
    <w:rsid w:val="001E6E2C"/>
    <w:rsid w:val="001E726B"/>
    <w:rsid w:val="001E72CB"/>
    <w:rsid w:val="001E754B"/>
    <w:rsid w:val="001E7A99"/>
    <w:rsid w:val="001F0209"/>
    <w:rsid w:val="001F0236"/>
    <w:rsid w:val="001F051E"/>
    <w:rsid w:val="001F0D95"/>
    <w:rsid w:val="001F1138"/>
    <w:rsid w:val="001F2C5C"/>
    <w:rsid w:val="001F2D72"/>
    <w:rsid w:val="001F2E67"/>
    <w:rsid w:val="001F2E8E"/>
    <w:rsid w:val="001F2F27"/>
    <w:rsid w:val="001F303C"/>
    <w:rsid w:val="001F3EC6"/>
    <w:rsid w:val="001F414A"/>
    <w:rsid w:val="001F44C1"/>
    <w:rsid w:val="001F47DE"/>
    <w:rsid w:val="001F5495"/>
    <w:rsid w:val="001F69EC"/>
    <w:rsid w:val="001F6C65"/>
    <w:rsid w:val="001F77D8"/>
    <w:rsid w:val="001F7BB6"/>
    <w:rsid w:val="001F7F9D"/>
    <w:rsid w:val="00200350"/>
    <w:rsid w:val="002003CE"/>
    <w:rsid w:val="002006A5"/>
    <w:rsid w:val="00201FFF"/>
    <w:rsid w:val="002028E9"/>
    <w:rsid w:val="002037C2"/>
    <w:rsid w:val="00203F1F"/>
    <w:rsid w:val="0020415A"/>
    <w:rsid w:val="002050EF"/>
    <w:rsid w:val="00205CCC"/>
    <w:rsid w:val="0020602F"/>
    <w:rsid w:val="00206D57"/>
    <w:rsid w:val="00207A75"/>
    <w:rsid w:val="00207C08"/>
    <w:rsid w:val="00207F43"/>
    <w:rsid w:val="0021015F"/>
    <w:rsid w:val="002103C3"/>
    <w:rsid w:val="0021070A"/>
    <w:rsid w:val="00211601"/>
    <w:rsid w:val="002117E5"/>
    <w:rsid w:val="00211866"/>
    <w:rsid w:val="00211CC2"/>
    <w:rsid w:val="00212241"/>
    <w:rsid w:val="0021260C"/>
    <w:rsid w:val="002127A2"/>
    <w:rsid w:val="00212A04"/>
    <w:rsid w:val="00214A3C"/>
    <w:rsid w:val="0021506C"/>
    <w:rsid w:val="00215AAB"/>
    <w:rsid w:val="00215DA6"/>
    <w:rsid w:val="00216736"/>
    <w:rsid w:val="00216F73"/>
    <w:rsid w:val="00217457"/>
    <w:rsid w:val="00220005"/>
    <w:rsid w:val="00220187"/>
    <w:rsid w:val="002208CE"/>
    <w:rsid w:val="00221676"/>
    <w:rsid w:val="00222BB0"/>
    <w:rsid w:val="00222FD9"/>
    <w:rsid w:val="002235F9"/>
    <w:rsid w:val="00223690"/>
    <w:rsid w:val="00223BD5"/>
    <w:rsid w:val="002240B3"/>
    <w:rsid w:val="002240E9"/>
    <w:rsid w:val="00225726"/>
    <w:rsid w:val="0022613B"/>
    <w:rsid w:val="002261A2"/>
    <w:rsid w:val="002261A9"/>
    <w:rsid w:val="002263EC"/>
    <w:rsid w:val="00226CF7"/>
    <w:rsid w:val="00227158"/>
    <w:rsid w:val="0022768B"/>
    <w:rsid w:val="00227966"/>
    <w:rsid w:val="002279D4"/>
    <w:rsid w:val="00227AF9"/>
    <w:rsid w:val="00227EDC"/>
    <w:rsid w:val="002302FD"/>
    <w:rsid w:val="00230A42"/>
    <w:rsid w:val="00230B42"/>
    <w:rsid w:val="00230C2D"/>
    <w:rsid w:val="00230DE4"/>
    <w:rsid w:val="00230EC9"/>
    <w:rsid w:val="0023169D"/>
    <w:rsid w:val="00231B8C"/>
    <w:rsid w:val="00231CF3"/>
    <w:rsid w:val="00231D65"/>
    <w:rsid w:val="00232586"/>
    <w:rsid w:val="00232826"/>
    <w:rsid w:val="002332DB"/>
    <w:rsid w:val="00233601"/>
    <w:rsid w:val="0023372F"/>
    <w:rsid w:val="00234500"/>
    <w:rsid w:val="00234D6A"/>
    <w:rsid w:val="002353F8"/>
    <w:rsid w:val="002366F6"/>
    <w:rsid w:val="00236DDA"/>
    <w:rsid w:val="0023783D"/>
    <w:rsid w:val="00237E9A"/>
    <w:rsid w:val="00237EF3"/>
    <w:rsid w:val="002403AA"/>
    <w:rsid w:val="00240B78"/>
    <w:rsid w:val="00240E00"/>
    <w:rsid w:val="0024130B"/>
    <w:rsid w:val="0024179F"/>
    <w:rsid w:val="002427B8"/>
    <w:rsid w:val="00242987"/>
    <w:rsid w:val="00242B4B"/>
    <w:rsid w:val="00242C7A"/>
    <w:rsid w:val="00243044"/>
    <w:rsid w:val="0024391C"/>
    <w:rsid w:val="002446FD"/>
    <w:rsid w:val="00244E2E"/>
    <w:rsid w:val="002452DE"/>
    <w:rsid w:val="002453DD"/>
    <w:rsid w:val="002454F0"/>
    <w:rsid w:val="0024657B"/>
    <w:rsid w:val="00247409"/>
    <w:rsid w:val="00247D2C"/>
    <w:rsid w:val="00250C04"/>
    <w:rsid w:val="002515AB"/>
    <w:rsid w:val="002517AA"/>
    <w:rsid w:val="00252C90"/>
    <w:rsid w:val="00252ED4"/>
    <w:rsid w:val="00253242"/>
    <w:rsid w:val="002534DA"/>
    <w:rsid w:val="00253E1F"/>
    <w:rsid w:val="0025411F"/>
    <w:rsid w:val="00254770"/>
    <w:rsid w:val="002547D3"/>
    <w:rsid w:val="00254C36"/>
    <w:rsid w:val="00255E08"/>
    <w:rsid w:val="00255EB4"/>
    <w:rsid w:val="002566FC"/>
    <w:rsid w:val="00256A29"/>
    <w:rsid w:val="00257016"/>
    <w:rsid w:val="002579AE"/>
    <w:rsid w:val="00257E0C"/>
    <w:rsid w:val="00261383"/>
    <w:rsid w:val="002627EE"/>
    <w:rsid w:val="00263515"/>
    <w:rsid w:val="002639E1"/>
    <w:rsid w:val="00263A56"/>
    <w:rsid w:val="00264930"/>
    <w:rsid w:val="00264A63"/>
    <w:rsid w:val="00264EDF"/>
    <w:rsid w:val="00264F90"/>
    <w:rsid w:val="00265132"/>
    <w:rsid w:val="0026555E"/>
    <w:rsid w:val="00266818"/>
    <w:rsid w:val="00266C67"/>
    <w:rsid w:val="00266FD9"/>
    <w:rsid w:val="00267474"/>
    <w:rsid w:val="00267CC1"/>
    <w:rsid w:val="00270634"/>
    <w:rsid w:val="002711DE"/>
    <w:rsid w:val="002714E8"/>
    <w:rsid w:val="00271611"/>
    <w:rsid w:val="00271B44"/>
    <w:rsid w:val="002726E7"/>
    <w:rsid w:val="00272A38"/>
    <w:rsid w:val="0027332E"/>
    <w:rsid w:val="0027391F"/>
    <w:rsid w:val="00273EEF"/>
    <w:rsid w:val="00274049"/>
    <w:rsid w:val="00274216"/>
    <w:rsid w:val="002742BE"/>
    <w:rsid w:val="00274C9F"/>
    <w:rsid w:val="00274FF8"/>
    <w:rsid w:val="002758B6"/>
    <w:rsid w:val="00275AFD"/>
    <w:rsid w:val="00276420"/>
    <w:rsid w:val="00276C1A"/>
    <w:rsid w:val="002772B4"/>
    <w:rsid w:val="002778A9"/>
    <w:rsid w:val="002803D6"/>
    <w:rsid w:val="00280E3C"/>
    <w:rsid w:val="00281298"/>
    <w:rsid w:val="00281498"/>
    <w:rsid w:val="00281A8B"/>
    <w:rsid w:val="0028232D"/>
    <w:rsid w:val="00282603"/>
    <w:rsid w:val="00282613"/>
    <w:rsid w:val="00282C6E"/>
    <w:rsid w:val="00282DC8"/>
    <w:rsid w:val="00283674"/>
    <w:rsid w:val="00284BDF"/>
    <w:rsid w:val="002857B4"/>
    <w:rsid w:val="002860FF"/>
    <w:rsid w:val="002901F3"/>
    <w:rsid w:val="00291483"/>
    <w:rsid w:val="002916AC"/>
    <w:rsid w:val="0029190E"/>
    <w:rsid w:val="00291982"/>
    <w:rsid w:val="0029256D"/>
    <w:rsid w:val="0029299A"/>
    <w:rsid w:val="0029305D"/>
    <w:rsid w:val="00293463"/>
    <w:rsid w:val="0029356B"/>
    <w:rsid w:val="00294287"/>
    <w:rsid w:val="00295FAC"/>
    <w:rsid w:val="00296F6C"/>
    <w:rsid w:val="0029773E"/>
    <w:rsid w:val="00297871"/>
    <w:rsid w:val="002A002E"/>
    <w:rsid w:val="002A05A9"/>
    <w:rsid w:val="002A0624"/>
    <w:rsid w:val="002A06DE"/>
    <w:rsid w:val="002A1142"/>
    <w:rsid w:val="002A162D"/>
    <w:rsid w:val="002A176F"/>
    <w:rsid w:val="002A21B3"/>
    <w:rsid w:val="002A25E3"/>
    <w:rsid w:val="002A28E5"/>
    <w:rsid w:val="002A2D31"/>
    <w:rsid w:val="002A2DB9"/>
    <w:rsid w:val="002A3461"/>
    <w:rsid w:val="002A37D5"/>
    <w:rsid w:val="002A3DB8"/>
    <w:rsid w:val="002A3F89"/>
    <w:rsid w:val="002A4165"/>
    <w:rsid w:val="002A5227"/>
    <w:rsid w:val="002A54A3"/>
    <w:rsid w:val="002A5F01"/>
    <w:rsid w:val="002A70DC"/>
    <w:rsid w:val="002A72A9"/>
    <w:rsid w:val="002A74A9"/>
    <w:rsid w:val="002B001C"/>
    <w:rsid w:val="002B093A"/>
    <w:rsid w:val="002B0C6F"/>
    <w:rsid w:val="002B0F00"/>
    <w:rsid w:val="002B16AC"/>
    <w:rsid w:val="002B172A"/>
    <w:rsid w:val="002B2655"/>
    <w:rsid w:val="002B364C"/>
    <w:rsid w:val="002B4A3D"/>
    <w:rsid w:val="002B5600"/>
    <w:rsid w:val="002B5766"/>
    <w:rsid w:val="002B5E32"/>
    <w:rsid w:val="002B6418"/>
    <w:rsid w:val="002B6483"/>
    <w:rsid w:val="002B7037"/>
    <w:rsid w:val="002C0387"/>
    <w:rsid w:val="002C0D2B"/>
    <w:rsid w:val="002C0D84"/>
    <w:rsid w:val="002C1FA2"/>
    <w:rsid w:val="002C21C8"/>
    <w:rsid w:val="002C2A23"/>
    <w:rsid w:val="002C3E13"/>
    <w:rsid w:val="002C3F72"/>
    <w:rsid w:val="002C477B"/>
    <w:rsid w:val="002C5F3F"/>
    <w:rsid w:val="002C6055"/>
    <w:rsid w:val="002C639A"/>
    <w:rsid w:val="002C6683"/>
    <w:rsid w:val="002C6919"/>
    <w:rsid w:val="002C6921"/>
    <w:rsid w:val="002C6FA1"/>
    <w:rsid w:val="002C70CB"/>
    <w:rsid w:val="002C72F1"/>
    <w:rsid w:val="002D0139"/>
    <w:rsid w:val="002D0F4A"/>
    <w:rsid w:val="002D1E90"/>
    <w:rsid w:val="002D21D6"/>
    <w:rsid w:val="002D26FB"/>
    <w:rsid w:val="002D2735"/>
    <w:rsid w:val="002D3077"/>
    <w:rsid w:val="002D3310"/>
    <w:rsid w:val="002D4170"/>
    <w:rsid w:val="002D45D3"/>
    <w:rsid w:val="002D575F"/>
    <w:rsid w:val="002D63FE"/>
    <w:rsid w:val="002D66DD"/>
    <w:rsid w:val="002D7098"/>
    <w:rsid w:val="002D72E7"/>
    <w:rsid w:val="002D7B61"/>
    <w:rsid w:val="002D7D6F"/>
    <w:rsid w:val="002D7EAD"/>
    <w:rsid w:val="002E0153"/>
    <w:rsid w:val="002E07FF"/>
    <w:rsid w:val="002E0B56"/>
    <w:rsid w:val="002E0F7E"/>
    <w:rsid w:val="002E16F7"/>
    <w:rsid w:val="002E1BD5"/>
    <w:rsid w:val="002E1EEF"/>
    <w:rsid w:val="002E2524"/>
    <w:rsid w:val="002E2847"/>
    <w:rsid w:val="002E2882"/>
    <w:rsid w:val="002E37A3"/>
    <w:rsid w:val="002E455A"/>
    <w:rsid w:val="002E4F8D"/>
    <w:rsid w:val="002E560A"/>
    <w:rsid w:val="002E572C"/>
    <w:rsid w:val="002E592B"/>
    <w:rsid w:val="002E59D5"/>
    <w:rsid w:val="002E5EE9"/>
    <w:rsid w:val="002E7239"/>
    <w:rsid w:val="002F0792"/>
    <w:rsid w:val="002F0ADB"/>
    <w:rsid w:val="002F1009"/>
    <w:rsid w:val="002F1122"/>
    <w:rsid w:val="002F1230"/>
    <w:rsid w:val="002F1287"/>
    <w:rsid w:val="002F1C02"/>
    <w:rsid w:val="002F20FD"/>
    <w:rsid w:val="002F21C4"/>
    <w:rsid w:val="002F35BF"/>
    <w:rsid w:val="002F3874"/>
    <w:rsid w:val="002F4577"/>
    <w:rsid w:val="002F523C"/>
    <w:rsid w:val="002F55E7"/>
    <w:rsid w:val="002F562A"/>
    <w:rsid w:val="002F5762"/>
    <w:rsid w:val="002F5B7A"/>
    <w:rsid w:val="002F608C"/>
    <w:rsid w:val="002F61A2"/>
    <w:rsid w:val="002F7C25"/>
    <w:rsid w:val="003004E1"/>
    <w:rsid w:val="0030099D"/>
    <w:rsid w:val="00300AE7"/>
    <w:rsid w:val="00301677"/>
    <w:rsid w:val="00301B08"/>
    <w:rsid w:val="00301D30"/>
    <w:rsid w:val="00302222"/>
    <w:rsid w:val="0030226F"/>
    <w:rsid w:val="00302C39"/>
    <w:rsid w:val="00302D77"/>
    <w:rsid w:val="00303434"/>
    <w:rsid w:val="00303896"/>
    <w:rsid w:val="00303B1A"/>
    <w:rsid w:val="00304CF4"/>
    <w:rsid w:val="003054E2"/>
    <w:rsid w:val="00306324"/>
    <w:rsid w:val="00306A38"/>
    <w:rsid w:val="00306ADE"/>
    <w:rsid w:val="00306C31"/>
    <w:rsid w:val="00306D23"/>
    <w:rsid w:val="00306DAA"/>
    <w:rsid w:val="00306E7A"/>
    <w:rsid w:val="00306F55"/>
    <w:rsid w:val="00307745"/>
    <w:rsid w:val="00307CE3"/>
    <w:rsid w:val="0031016F"/>
    <w:rsid w:val="00310220"/>
    <w:rsid w:val="00310FC5"/>
    <w:rsid w:val="00311028"/>
    <w:rsid w:val="0031123A"/>
    <w:rsid w:val="0031134C"/>
    <w:rsid w:val="00311B9A"/>
    <w:rsid w:val="00311F42"/>
    <w:rsid w:val="003128AE"/>
    <w:rsid w:val="0031290F"/>
    <w:rsid w:val="00312B0A"/>
    <w:rsid w:val="00312D62"/>
    <w:rsid w:val="00314115"/>
    <w:rsid w:val="00314810"/>
    <w:rsid w:val="00314F7E"/>
    <w:rsid w:val="0031539B"/>
    <w:rsid w:val="0031549C"/>
    <w:rsid w:val="003158AD"/>
    <w:rsid w:val="003162F2"/>
    <w:rsid w:val="0031697D"/>
    <w:rsid w:val="003170B1"/>
    <w:rsid w:val="0031712B"/>
    <w:rsid w:val="003173EF"/>
    <w:rsid w:val="003207F0"/>
    <w:rsid w:val="00322D5A"/>
    <w:rsid w:val="00322F38"/>
    <w:rsid w:val="00323478"/>
    <w:rsid w:val="003235A1"/>
    <w:rsid w:val="003238CA"/>
    <w:rsid w:val="00323CFE"/>
    <w:rsid w:val="00324B66"/>
    <w:rsid w:val="0032508E"/>
    <w:rsid w:val="003251D7"/>
    <w:rsid w:val="003251E5"/>
    <w:rsid w:val="00325450"/>
    <w:rsid w:val="00325CE9"/>
    <w:rsid w:val="0032616B"/>
    <w:rsid w:val="00327A78"/>
    <w:rsid w:val="00330CB5"/>
    <w:rsid w:val="00330D5F"/>
    <w:rsid w:val="003314DF"/>
    <w:rsid w:val="003317DD"/>
    <w:rsid w:val="0033205D"/>
    <w:rsid w:val="003322A0"/>
    <w:rsid w:val="00332B84"/>
    <w:rsid w:val="003341CC"/>
    <w:rsid w:val="00334620"/>
    <w:rsid w:val="00334FE1"/>
    <w:rsid w:val="003352C2"/>
    <w:rsid w:val="00335536"/>
    <w:rsid w:val="003355D1"/>
    <w:rsid w:val="0033586B"/>
    <w:rsid w:val="00335D44"/>
    <w:rsid w:val="00336631"/>
    <w:rsid w:val="00337A69"/>
    <w:rsid w:val="00337D02"/>
    <w:rsid w:val="00337EF0"/>
    <w:rsid w:val="00340273"/>
    <w:rsid w:val="00340460"/>
    <w:rsid w:val="0034089F"/>
    <w:rsid w:val="00341049"/>
    <w:rsid w:val="00341E25"/>
    <w:rsid w:val="0034221C"/>
    <w:rsid w:val="00342DD1"/>
    <w:rsid w:val="00342DEA"/>
    <w:rsid w:val="003437D6"/>
    <w:rsid w:val="00343A3D"/>
    <w:rsid w:val="00343C2D"/>
    <w:rsid w:val="00344CF0"/>
    <w:rsid w:val="00344FEE"/>
    <w:rsid w:val="003453E1"/>
    <w:rsid w:val="00345956"/>
    <w:rsid w:val="0034639F"/>
    <w:rsid w:val="003467C5"/>
    <w:rsid w:val="00346BCC"/>
    <w:rsid w:val="00347D3F"/>
    <w:rsid w:val="00350C07"/>
    <w:rsid w:val="00351BF8"/>
    <w:rsid w:val="00351C3F"/>
    <w:rsid w:val="003526B8"/>
    <w:rsid w:val="00352C81"/>
    <w:rsid w:val="003534BB"/>
    <w:rsid w:val="003534D3"/>
    <w:rsid w:val="00353B4D"/>
    <w:rsid w:val="00354DAF"/>
    <w:rsid w:val="00355499"/>
    <w:rsid w:val="00355A4C"/>
    <w:rsid w:val="00355EBF"/>
    <w:rsid w:val="00356189"/>
    <w:rsid w:val="00356512"/>
    <w:rsid w:val="0035671C"/>
    <w:rsid w:val="0035735B"/>
    <w:rsid w:val="00360483"/>
    <w:rsid w:val="003608F0"/>
    <w:rsid w:val="00360DA9"/>
    <w:rsid w:val="00361042"/>
    <w:rsid w:val="00361933"/>
    <w:rsid w:val="00362C4A"/>
    <w:rsid w:val="00362F42"/>
    <w:rsid w:val="003637C9"/>
    <w:rsid w:val="00363A43"/>
    <w:rsid w:val="00363AA5"/>
    <w:rsid w:val="0036471C"/>
    <w:rsid w:val="00364F71"/>
    <w:rsid w:val="0036505F"/>
    <w:rsid w:val="0036522C"/>
    <w:rsid w:val="00365649"/>
    <w:rsid w:val="00365804"/>
    <w:rsid w:val="00366B1E"/>
    <w:rsid w:val="00366C23"/>
    <w:rsid w:val="003678EF"/>
    <w:rsid w:val="00367A2F"/>
    <w:rsid w:val="00367DCF"/>
    <w:rsid w:val="00367E64"/>
    <w:rsid w:val="00367E7A"/>
    <w:rsid w:val="00367F50"/>
    <w:rsid w:val="003700EB"/>
    <w:rsid w:val="00370808"/>
    <w:rsid w:val="00370B38"/>
    <w:rsid w:val="00371843"/>
    <w:rsid w:val="003723C8"/>
    <w:rsid w:val="0037351A"/>
    <w:rsid w:val="00373A3F"/>
    <w:rsid w:val="00373E28"/>
    <w:rsid w:val="00375A78"/>
    <w:rsid w:val="00375C2D"/>
    <w:rsid w:val="00377820"/>
    <w:rsid w:val="00377979"/>
    <w:rsid w:val="00380F9B"/>
    <w:rsid w:val="003812D5"/>
    <w:rsid w:val="00381944"/>
    <w:rsid w:val="00383B2B"/>
    <w:rsid w:val="003842D4"/>
    <w:rsid w:val="00384445"/>
    <w:rsid w:val="003844B8"/>
    <w:rsid w:val="00385EBB"/>
    <w:rsid w:val="00386253"/>
    <w:rsid w:val="003863EC"/>
    <w:rsid w:val="00386EB6"/>
    <w:rsid w:val="0038710B"/>
    <w:rsid w:val="00387756"/>
    <w:rsid w:val="00387A59"/>
    <w:rsid w:val="00390659"/>
    <w:rsid w:val="003909D2"/>
    <w:rsid w:val="00390CA9"/>
    <w:rsid w:val="00390EB5"/>
    <w:rsid w:val="003912A9"/>
    <w:rsid w:val="003919DF"/>
    <w:rsid w:val="00392A89"/>
    <w:rsid w:val="003930D1"/>
    <w:rsid w:val="0039312B"/>
    <w:rsid w:val="00393922"/>
    <w:rsid w:val="0039397E"/>
    <w:rsid w:val="00393ADA"/>
    <w:rsid w:val="00393F1E"/>
    <w:rsid w:val="003943C0"/>
    <w:rsid w:val="00395464"/>
    <w:rsid w:val="00395EBA"/>
    <w:rsid w:val="00396368"/>
    <w:rsid w:val="00396AC5"/>
    <w:rsid w:val="00396BC4"/>
    <w:rsid w:val="00397180"/>
    <w:rsid w:val="0039749B"/>
    <w:rsid w:val="003974DC"/>
    <w:rsid w:val="00397BA1"/>
    <w:rsid w:val="00397C83"/>
    <w:rsid w:val="003A05D8"/>
    <w:rsid w:val="003A0C1A"/>
    <w:rsid w:val="003A1275"/>
    <w:rsid w:val="003A1A54"/>
    <w:rsid w:val="003A2973"/>
    <w:rsid w:val="003A2FB5"/>
    <w:rsid w:val="003A2FDB"/>
    <w:rsid w:val="003A3607"/>
    <w:rsid w:val="003A3900"/>
    <w:rsid w:val="003A3BBB"/>
    <w:rsid w:val="003A3DD2"/>
    <w:rsid w:val="003A3E9E"/>
    <w:rsid w:val="003A47C1"/>
    <w:rsid w:val="003A4F74"/>
    <w:rsid w:val="003A5073"/>
    <w:rsid w:val="003A532A"/>
    <w:rsid w:val="003A5E6F"/>
    <w:rsid w:val="003A6ABF"/>
    <w:rsid w:val="003A6D8C"/>
    <w:rsid w:val="003A70C9"/>
    <w:rsid w:val="003A782B"/>
    <w:rsid w:val="003A7952"/>
    <w:rsid w:val="003B01FC"/>
    <w:rsid w:val="003B16E0"/>
    <w:rsid w:val="003B1D86"/>
    <w:rsid w:val="003B24E3"/>
    <w:rsid w:val="003B276F"/>
    <w:rsid w:val="003B2849"/>
    <w:rsid w:val="003B296D"/>
    <w:rsid w:val="003B2BAD"/>
    <w:rsid w:val="003B3675"/>
    <w:rsid w:val="003B3B5D"/>
    <w:rsid w:val="003B4339"/>
    <w:rsid w:val="003B488D"/>
    <w:rsid w:val="003B493D"/>
    <w:rsid w:val="003B517E"/>
    <w:rsid w:val="003B5E4E"/>
    <w:rsid w:val="003B74F0"/>
    <w:rsid w:val="003B78CD"/>
    <w:rsid w:val="003C0B49"/>
    <w:rsid w:val="003C15A2"/>
    <w:rsid w:val="003C1C29"/>
    <w:rsid w:val="003C1EC7"/>
    <w:rsid w:val="003C2315"/>
    <w:rsid w:val="003C31AD"/>
    <w:rsid w:val="003C3590"/>
    <w:rsid w:val="003C365B"/>
    <w:rsid w:val="003C3A01"/>
    <w:rsid w:val="003C484D"/>
    <w:rsid w:val="003C499F"/>
    <w:rsid w:val="003C4D56"/>
    <w:rsid w:val="003C4DDE"/>
    <w:rsid w:val="003C5646"/>
    <w:rsid w:val="003C58C3"/>
    <w:rsid w:val="003C5AFD"/>
    <w:rsid w:val="003C5EBB"/>
    <w:rsid w:val="003C6291"/>
    <w:rsid w:val="003C6568"/>
    <w:rsid w:val="003C7307"/>
    <w:rsid w:val="003D1391"/>
    <w:rsid w:val="003D1968"/>
    <w:rsid w:val="003D1A32"/>
    <w:rsid w:val="003D1E78"/>
    <w:rsid w:val="003D1E88"/>
    <w:rsid w:val="003D1F58"/>
    <w:rsid w:val="003D2D5F"/>
    <w:rsid w:val="003D31C5"/>
    <w:rsid w:val="003D31CF"/>
    <w:rsid w:val="003D33E0"/>
    <w:rsid w:val="003D3DA8"/>
    <w:rsid w:val="003D4098"/>
    <w:rsid w:val="003D414A"/>
    <w:rsid w:val="003D41BF"/>
    <w:rsid w:val="003D4320"/>
    <w:rsid w:val="003D4665"/>
    <w:rsid w:val="003D558C"/>
    <w:rsid w:val="003D574B"/>
    <w:rsid w:val="003D574E"/>
    <w:rsid w:val="003D58C2"/>
    <w:rsid w:val="003D5E09"/>
    <w:rsid w:val="003D69F7"/>
    <w:rsid w:val="003D76C2"/>
    <w:rsid w:val="003D7D0A"/>
    <w:rsid w:val="003E03B1"/>
    <w:rsid w:val="003E06B6"/>
    <w:rsid w:val="003E0FB5"/>
    <w:rsid w:val="003E161F"/>
    <w:rsid w:val="003E18C2"/>
    <w:rsid w:val="003E191B"/>
    <w:rsid w:val="003E29F4"/>
    <w:rsid w:val="003E307A"/>
    <w:rsid w:val="003E33FA"/>
    <w:rsid w:val="003E3693"/>
    <w:rsid w:val="003E3FCC"/>
    <w:rsid w:val="003E43C9"/>
    <w:rsid w:val="003E450A"/>
    <w:rsid w:val="003E49B0"/>
    <w:rsid w:val="003E5BCC"/>
    <w:rsid w:val="003E5EC5"/>
    <w:rsid w:val="003E6160"/>
    <w:rsid w:val="003E63DD"/>
    <w:rsid w:val="003E67B3"/>
    <w:rsid w:val="003E760E"/>
    <w:rsid w:val="003E7D4F"/>
    <w:rsid w:val="003F02D1"/>
    <w:rsid w:val="003F02FD"/>
    <w:rsid w:val="003F1034"/>
    <w:rsid w:val="003F1255"/>
    <w:rsid w:val="003F1479"/>
    <w:rsid w:val="003F1598"/>
    <w:rsid w:val="003F2CE1"/>
    <w:rsid w:val="003F2D33"/>
    <w:rsid w:val="003F3119"/>
    <w:rsid w:val="003F3434"/>
    <w:rsid w:val="003F35D0"/>
    <w:rsid w:val="003F35E1"/>
    <w:rsid w:val="003F3964"/>
    <w:rsid w:val="003F3BBD"/>
    <w:rsid w:val="003F3C53"/>
    <w:rsid w:val="003F3EAE"/>
    <w:rsid w:val="003F4188"/>
    <w:rsid w:val="003F5C71"/>
    <w:rsid w:val="003F5CE8"/>
    <w:rsid w:val="003F69B2"/>
    <w:rsid w:val="003F6BFB"/>
    <w:rsid w:val="003F6DD5"/>
    <w:rsid w:val="003F777E"/>
    <w:rsid w:val="003F7A09"/>
    <w:rsid w:val="003F7C65"/>
    <w:rsid w:val="00401043"/>
    <w:rsid w:val="004012CB"/>
    <w:rsid w:val="004014C3"/>
    <w:rsid w:val="00402456"/>
    <w:rsid w:val="004025DD"/>
    <w:rsid w:val="004028FD"/>
    <w:rsid w:val="00402C67"/>
    <w:rsid w:val="00403176"/>
    <w:rsid w:val="004034B9"/>
    <w:rsid w:val="00403AB7"/>
    <w:rsid w:val="0040487C"/>
    <w:rsid w:val="00404B6D"/>
    <w:rsid w:val="00404B89"/>
    <w:rsid w:val="00405609"/>
    <w:rsid w:val="00405A53"/>
    <w:rsid w:val="00405DF0"/>
    <w:rsid w:val="00406E65"/>
    <w:rsid w:val="00406EDC"/>
    <w:rsid w:val="00407690"/>
    <w:rsid w:val="00407CAE"/>
    <w:rsid w:val="00410261"/>
    <w:rsid w:val="004106C8"/>
    <w:rsid w:val="00411375"/>
    <w:rsid w:val="00414618"/>
    <w:rsid w:val="00414F34"/>
    <w:rsid w:val="0041549A"/>
    <w:rsid w:val="0041598C"/>
    <w:rsid w:val="00415CE6"/>
    <w:rsid w:val="00415DA9"/>
    <w:rsid w:val="00415DE1"/>
    <w:rsid w:val="00415FC4"/>
    <w:rsid w:val="00416180"/>
    <w:rsid w:val="00416605"/>
    <w:rsid w:val="00416825"/>
    <w:rsid w:val="0041708F"/>
    <w:rsid w:val="00417344"/>
    <w:rsid w:val="00417791"/>
    <w:rsid w:val="00417A3A"/>
    <w:rsid w:val="00421274"/>
    <w:rsid w:val="00421A5E"/>
    <w:rsid w:val="00421EC1"/>
    <w:rsid w:val="00422013"/>
    <w:rsid w:val="00422B50"/>
    <w:rsid w:val="00422F52"/>
    <w:rsid w:val="00423736"/>
    <w:rsid w:val="00423A7D"/>
    <w:rsid w:val="00424190"/>
    <w:rsid w:val="00424808"/>
    <w:rsid w:val="0042482C"/>
    <w:rsid w:val="00424B05"/>
    <w:rsid w:val="00424B3C"/>
    <w:rsid w:val="00424C7F"/>
    <w:rsid w:val="00424E98"/>
    <w:rsid w:val="004258A3"/>
    <w:rsid w:val="00425EC2"/>
    <w:rsid w:val="00426B16"/>
    <w:rsid w:val="00427263"/>
    <w:rsid w:val="00427693"/>
    <w:rsid w:val="004300FF"/>
    <w:rsid w:val="0043031F"/>
    <w:rsid w:val="004308FB"/>
    <w:rsid w:val="00430C71"/>
    <w:rsid w:val="004311B0"/>
    <w:rsid w:val="00431764"/>
    <w:rsid w:val="00431D06"/>
    <w:rsid w:val="00432948"/>
    <w:rsid w:val="004332A0"/>
    <w:rsid w:val="004333B6"/>
    <w:rsid w:val="004333E1"/>
    <w:rsid w:val="00433F1E"/>
    <w:rsid w:val="00434438"/>
    <w:rsid w:val="00434505"/>
    <w:rsid w:val="00434687"/>
    <w:rsid w:val="00434805"/>
    <w:rsid w:val="00434892"/>
    <w:rsid w:val="0043534C"/>
    <w:rsid w:val="00435A2E"/>
    <w:rsid w:val="00435C86"/>
    <w:rsid w:val="00435CDE"/>
    <w:rsid w:val="00436EBA"/>
    <w:rsid w:val="00436F72"/>
    <w:rsid w:val="00437F85"/>
    <w:rsid w:val="004401FA"/>
    <w:rsid w:val="004403A9"/>
    <w:rsid w:val="004406E6"/>
    <w:rsid w:val="00440D6B"/>
    <w:rsid w:val="00440F49"/>
    <w:rsid w:val="0044166F"/>
    <w:rsid w:val="0044244E"/>
    <w:rsid w:val="00442888"/>
    <w:rsid w:val="00442A07"/>
    <w:rsid w:val="004431D6"/>
    <w:rsid w:val="00443235"/>
    <w:rsid w:val="004433A7"/>
    <w:rsid w:val="00443C89"/>
    <w:rsid w:val="00443FC4"/>
    <w:rsid w:val="0044431F"/>
    <w:rsid w:val="0044472E"/>
    <w:rsid w:val="00444EC1"/>
    <w:rsid w:val="004453E8"/>
    <w:rsid w:val="00445449"/>
    <w:rsid w:val="00445924"/>
    <w:rsid w:val="00446880"/>
    <w:rsid w:val="004469A8"/>
    <w:rsid w:val="0044750D"/>
    <w:rsid w:val="00447EDF"/>
    <w:rsid w:val="00450383"/>
    <w:rsid w:val="00450991"/>
    <w:rsid w:val="00450B9F"/>
    <w:rsid w:val="00451182"/>
    <w:rsid w:val="00451AC8"/>
    <w:rsid w:val="0045323D"/>
    <w:rsid w:val="004532B9"/>
    <w:rsid w:val="004536F8"/>
    <w:rsid w:val="0045394E"/>
    <w:rsid w:val="00453F52"/>
    <w:rsid w:val="00454270"/>
    <w:rsid w:val="004548EF"/>
    <w:rsid w:val="00454E43"/>
    <w:rsid w:val="004551DA"/>
    <w:rsid w:val="004567BB"/>
    <w:rsid w:val="00460321"/>
    <w:rsid w:val="004609B9"/>
    <w:rsid w:val="00460ECF"/>
    <w:rsid w:val="0046105E"/>
    <w:rsid w:val="0046197D"/>
    <w:rsid w:val="004621E9"/>
    <w:rsid w:val="004622F4"/>
    <w:rsid w:val="00462494"/>
    <w:rsid w:val="004627A7"/>
    <w:rsid w:val="0046296C"/>
    <w:rsid w:val="00462F4F"/>
    <w:rsid w:val="00463AB7"/>
    <w:rsid w:val="00463CBE"/>
    <w:rsid w:val="00463DA5"/>
    <w:rsid w:val="00463F61"/>
    <w:rsid w:val="00464248"/>
    <w:rsid w:val="0046427E"/>
    <w:rsid w:val="00464BEC"/>
    <w:rsid w:val="00464D23"/>
    <w:rsid w:val="00465403"/>
    <w:rsid w:val="00465E8C"/>
    <w:rsid w:val="00470001"/>
    <w:rsid w:val="004706B4"/>
    <w:rsid w:val="00470AA4"/>
    <w:rsid w:val="00470CF1"/>
    <w:rsid w:val="00470E15"/>
    <w:rsid w:val="00470E27"/>
    <w:rsid w:val="004712FF"/>
    <w:rsid w:val="004715AD"/>
    <w:rsid w:val="0047330C"/>
    <w:rsid w:val="0047364D"/>
    <w:rsid w:val="00474CEB"/>
    <w:rsid w:val="00474EC3"/>
    <w:rsid w:val="00474FCF"/>
    <w:rsid w:val="004758E7"/>
    <w:rsid w:val="00475B4A"/>
    <w:rsid w:val="00476171"/>
    <w:rsid w:val="004764F9"/>
    <w:rsid w:val="004765D4"/>
    <w:rsid w:val="00476F48"/>
    <w:rsid w:val="00477541"/>
    <w:rsid w:val="0047777F"/>
    <w:rsid w:val="004777EB"/>
    <w:rsid w:val="00477D6C"/>
    <w:rsid w:val="0048010E"/>
    <w:rsid w:val="00480267"/>
    <w:rsid w:val="0048082C"/>
    <w:rsid w:val="00481075"/>
    <w:rsid w:val="00481303"/>
    <w:rsid w:val="0048149D"/>
    <w:rsid w:val="004818E3"/>
    <w:rsid w:val="0048233F"/>
    <w:rsid w:val="00482AA8"/>
    <w:rsid w:val="00482FC4"/>
    <w:rsid w:val="0048407B"/>
    <w:rsid w:val="00484782"/>
    <w:rsid w:val="00484800"/>
    <w:rsid w:val="00484A6B"/>
    <w:rsid w:val="004850CF"/>
    <w:rsid w:val="00485E30"/>
    <w:rsid w:val="00486095"/>
    <w:rsid w:val="00486816"/>
    <w:rsid w:val="00486D4E"/>
    <w:rsid w:val="00486E26"/>
    <w:rsid w:val="00486F23"/>
    <w:rsid w:val="004872CC"/>
    <w:rsid w:val="00487E48"/>
    <w:rsid w:val="00487F63"/>
    <w:rsid w:val="00491FCC"/>
    <w:rsid w:val="0049239C"/>
    <w:rsid w:val="004935DD"/>
    <w:rsid w:val="00493609"/>
    <w:rsid w:val="00493B38"/>
    <w:rsid w:val="00493E38"/>
    <w:rsid w:val="004943BB"/>
    <w:rsid w:val="00494C83"/>
    <w:rsid w:val="00495440"/>
    <w:rsid w:val="004963B1"/>
    <w:rsid w:val="0049675A"/>
    <w:rsid w:val="00496BB9"/>
    <w:rsid w:val="00497073"/>
    <w:rsid w:val="0049739E"/>
    <w:rsid w:val="004974BC"/>
    <w:rsid w:val="00497DF8"/>
    <w:rsid w:val="004A006F"/>
    <w:rsid w:val="004A01E2"/>
    <w:rsid w:val="004A0317"/>
    <w:rsid w:val="004A0C4C"/>
    <w:rsid w:val="004A0CB9"/>
    <w:rsid w:val="004A0D2C"/>
    <w:rsid w:val="004A1388"/>
    <w:rsid w:val="004A1B9B"/>
    <w:rsid w:val="004A1F40"/>
    <w:rsid w:val="004A2088"/>
    <w:rsid w:val="004A20D4"/>
    <w:rsid w:val="004A223A"/>
    <w:rsid w:val="004A2753"/>
    <w:rsid w:val="004A2AEC"/>
    <w:rsid w:val="004A331F"/>
    <w:rsid w:val="004A366D"/>
    <w:rsid w:val="004A3EB1"/>
    <w:rsid w:val="004A43E8"/>
    <w:rsid w:val="004A456E"/>
    <w:rsid w:val="004A4767"/>
    <w:rsid w:val="004A4D91"/>
    <w:rsid w:val="004A529D"/>
    <w:rsid w:val="004A5850"/>
    <w:rsid w:val="004A619B"/>
    <w:rsid w:val="004A79F8"/>
    <w:rsid w:val="004B063B"/>
    <w:rsid w:val="004B0CDB"/>
    <w:rsid w:val="004B1D73"/>
    <w:rsid w:val="004B2EAB"/>
    <w:rsid w:val="004B5881"/>
    <w:rsid w:val="004B5B15"/>
    <w:rsid w:val="004B67EE"/>
    <w:rsid w:val="004B6AB6"/>
    <w:rsid w:val="004B6CF6"/>
    <w:rsid w:val="004B7029"/>
    <w:rsid w:val="004B75B8"/>
    <w:rsid w:val="004B7DA0"/>
    <w:rsid w:val="004B7F18"/>
    <w:rsid w:val="004C098D"/>
    <w:rsid w:val="004C1172"/>
    <w:rsid w:val="004C1436"/>
    <w:rsid w:val="004C19D7"/>
    <w:rsid w:val="004C1BDE"/>
    <w:rsid w:val="004C238E"/>
    <w:rsid w:val="004C23A3"/>
    <w:rsid w:val="004C2C67"/>
    <w:rsid w:val="004C32F9"/>
    <w:rsid w:val="004C3B33"/>
    <w:rsid w:val="004C3C94"/>
    <w:rsid w:val="004C4B99"/>
    <w:rsid w:val="004C4F13"/>
    <w:rsid w:val="004C4FAE"/>
    <w:rsid w:val="004C543C"/>
    <w:rsid w:val="004C5904"/>
    <w:rsid w:val="004C611F"/>
    <w:rsid w:val="004C61EE"/>
    <w:rsid w:val="004C6A5E"/>
    <w:rsid w:val="004C6EB7"/>
    <w:rsid w:val="004C781D"/>
    <w:rsid w:val="004D06C1"/>
    <w:rsid w:val="004D0747"/>
    <w:rsid w:val="004D09BE"/>
    <w:rsid w:val="004D2060"/>
    <w:rsid w:val="004D35DE"/>
    <w:rsid w:val="004D3D36"/>
    <w:rsid w:val="004D3E6A"/>
    <w:rsid w:val="004D4591"/>
    <w:rsid w:val="004D4ABD"/>
    <w:rsid w:val="004D4BCD"/>
    <w:rsid w:val="004D4E4D"/>
    <w:rsid w:val="004D57B0"/>
    <w:rsid w:val="004D57B7"/>
    <w:rsid w:val="004D5BC1"/>
    <w:rsid w:val="004D6B0E"/>
    <w:rsid w:val="004D7169"/>
    <w:rsid w:val="004D75CB"/>
    <w:rsid w:val="004D7937"/>
    <w:rsid w:val="004D7D0E"/>
    <w:rsid w:val="004E00AF"/>
    <w:rsid w:val="004E06CF"/>
    <w:rsid w:val="004E0A60"/>
    <w:rsid w:val="004E0D93"/>
    <w:rsid w:val="004E11A4"/>
    <w:rsid w:val="004E187D"/>
    <w:rsid w:val="004E18D8"/>
    <w:rsid w:val="004E1C4E"/>
    <w:rsid w:val="004E4D8A"/>
    <w:rsid w:val="004E509A"/>
    <w:rsid w:val="004E5A6B"/>
    <w:rsid w:val="004E607B"/>
    <w:rsid w:val="004E6A16"/>
    <w:rsid w:val="004E7134"/>
    <w:rsid w:val="004E7148"/>
    <w:rsid w:val="004E7500"/>
    <w:rsid w:val="004E78D3"/>
    <w:rsid w:val="004E7969"/>
    <w:rsid w:val="004F025D"/>
    <w:rsid w:val="004F09F5"/>
    <w:rsid w:val="004F1151"/>
    <w:rsid w:val="004F1B08"/>
    <w:rsid w:val="004F2263"/>
    <w:rsid w:val="004F2538"/>
    <w:rsid w:val="004F2FB1"/>
    <w:rsid w:val="004F30D0"/>
    <w:rsid w:val="004F4113"/>
    <w:rsid w:val="004F4BB2"/>
    <w:rsid w:val="004F552F"/>
    <w:rsid w:val="004F554F"/>
    <w:rsid w:val="004F5C46"/>
    <w:rsid w:val="004F6427"/>
    <w:rsid w:val="004F6CEC"/>
    <w:rsid w:val="004F705E"/>
    <w:rsid w:val="005003EC"/>
    <w:rsid w:val="00500764"/>
    <w:rsid w:val="005008B1"/>
    <w:rsid w:val="00500B08"/>
    <w:rsid w:val="005012F3"/>
    <w:rsid w:val="0050158D"/>
    <w:rsid w:val="00502567"/>
    <w:rsid w:val="00502D16"/>
    <w:rsid w:val="0050300D"/>
    <w:rsid w:val="005032D8"/>
    <w:rsid w:val="00503645"/>
    <w:rsid w:val="005038CA"/>
    <w:rsid w:val="00503B9F"/>
    <w:rsid w:val="00503ED7"/>
    <w:rsid w:val="00505AE5"/>
    <w:rsid w:val="00505B4D"/>
    <w:rsid w:val="00505FA1"/>
    <w:rsid w:val="005060D9"/>
    <w:rsid w:val="005062B7"/>
    <w:rsid w:val="00506529"/>
    <w:rsid w:val="005065A3"/>
    <w:rsid w:val="0050698D"/>
    <w:rsid w:val="00506F15"/>
    <w:rsid w:val="005077AB"/>
    <w:rsid w:val="005077B4"/>
    <w:rsid w:val="005103EB"/>
    <w:rsid w:val="00510552"/>
    <w:rsid w:val="00510E07"/>
    <w:rsid w:val="00511162"/>
    <w:rsid w:val="00511E9F"/>
    <w:rsid w:val="00512086"/>
    <w:rsid w:val="00512BD5"/>
    <w:rsid w:val="00512C7E"/>
    <w:rsid w:val="00513744"/>
    <w:rsid w:val="00513A4F"/>
    <w:rsid w:val="00513D0C"/>
    <w:rsid w:val="00513FCA"/>
    <w:rsid w:val="005145C4"/>
    <w:rsid w:val="0051462B"/>
    <w:rsid w:val="0051494C"/>
    <w:rsid w:val="00514B49"/>
    <w:rsid w:val="00515452"/>
    <w:rsid w:val="00516218"/>
    <w:rsid w:val="0051654D"/>
    <w:rsid w:val="00516DF1"/>
    <w:rsid w:val="00517506"/>
    <w:rsid w:val="00517B5E"/>
    <w:rsid w:val="0052043C"/>
    <w:rsid w:val="00521E04"/>
    <w:rsid w:val="00522897"/>
    <w:rsid w:val="00522DB7"/>
    <w:rsid w:val="005232F2"/>
    <w:rsid w:val="005233AD"/>
    <w:rsid w:val="00523461"/>
    <w:rsid w:val="005234CF"/>
    <w:rsid w:val="00523EC9"/>
    <w:rsid w:val="005240DF"/>
    <w:rsid w:val="00524277"/>
    <w:rsid w:val="005242B8"/>
    <w:rsid w:val="005245A3"/>
    <w:rsid w:val="00526307"/>
    <w:rsid w:val="0052652E"/>
    <w:rsid w:val="005267A9"/>
    <w:rsid w:val="005274E8"/>
    <w:rsid w:val="00527B87"/>
    <w:rsid w:val="00527DB4"/>
    <w:rsid w:val="00530478"/>
    <w:rsid w:val="005316D8"/>
    <w:rsid w:val="005320D7"/>
    <w:rsid w:val="005325A3"/>
    <w:rsid w:val="005325E4"/>
    <w:rsid w:val="00532B17"/>
    <w:rsid w:val="005330CA"/>
    <w:rsid w:val="0053315F"/>
    <w:rsid w:val="00533ADC"/>
    <w:rsid w:val="00533EB0"/>
    <w:rsid w:val="00534B18"/>
    <w:rsid w:val="00534F8C"/>
    <w:rsid w:val="00534FF1"/>
    <w:rsid w:val="00535212"/>
    <w:rsid w:val="00536136"/>
    <w:rsid w:val="00536352"/>
    <w:rsid w:val="005367FB"/>
    <w:rsid w:val="0053693F"/>
    <w:rsid w:val="00536E00"/>
    <w:rsid w:val="00536E2C"/>
    <w:rsid w:val="00540024"/>
    <w:rsid w:val="005415B6"/>
    <w:rsid w:val="00541795"/>
    <w:rsid w:val="00541F95"/>
    <w:rsid w:val="00542459"/>
    <w:rsid w:val="0054265A"/>
    <w:rsid w:val="00542702"/>
    <w:rsid w:val="00542FE4"/>
    <w:rsid w:val="0054321D"/>
    <w:rsid w:val="00543488"/>
    <w:rsid w:val="00543A44"/>
    <w:rsid w:val="005454A8"/>
    <w:rsid w:val="00545D14"/>
    <w:rsid w:val="005475B0"/>
    <w:rsid w:val="0054769B"/>
    <w:rsid w:val="00550750"/>
    <w:rsid w:val="00550F20"/>
    <w:rsid w:val="005511F2"/>
    <w:rsid w:val="005516DA"/>
    <w:rsid w:val="00551CF6"/>
    <w:rsid w:val="00551D5E"/>
    <w:rsid w:val="005521C6"/>
    <w:rsid w:val="00552302"/>
    <w:rsid w:val="00552AF9"/>
    <w:rsid w:val="00552CE2"/>
    <w:rsid w:val="0055350C"/>
    <w:rsid w:val="0055350E"/>
    <w:rsid w:val="0055356A"/>
    <w:rsid w:val="0055397C"/>
    <w:rsid w:val="00554C83"/>
    <w:rsid w:val="00555843"/>
    <w:rsid w:val="005563C1"/>
    <w:rsid w:val="005568FB"/>
    <w:rsid w:val="00556B9E"/>
    <w:rsid w:val="00556E9B"/>
    <w:rsid w:val="00557DFB"/>
    <w:rsid w:val="005602B1"/>
    <w:rsid w:val="005603D3"/>
    <w:rsid w:val="005604B1"/>
    <w:rsid w:val="00560924"/>
    <w:rsid w:val="00560CB1"/>
    <w:rsid w:val="00560DED"/>
    <w:rsid w:val="00560F71"/>
    <w:rsid w:val="005613C2"/>
    <w:rsid w:val="005619C4"/>
    <w:rsid w:val="00561B82"/>
    <w:rsid w:val="0056213A"/>
    <w:rsid w:val="0056256B"/>
    <w:rsid w:val="005629B1"/>
    <w:rsid w:val="0056316D"/>
    <w:rsid w:val="005635F1"/>
    <w:rsid w:val="00563685"/>
    <w:rsid w:val="00563BBB"/>
    <w:rsid w:val="0056400D"/>
    <w:rsid w:val="0056428C"/>
    <w:rsid w:val="00564D2A"/>
    <w:rsid w:val="0056561C"/>
    <w:rsid w:val="005658FB"/>
    <w:rsid w:val="0056618D"/>
    <w:rsid w:val="0056694B"/>
    <w:rsid w:val="00566AD7"/>
    <w:rsid w:val="00566D13"/>
    <w:rsid w:val="00570880"/>
    <w:rsid w:val="00570C62"/>
    <w:rsid w:val="00570EDC"/>
    <w:rsid w:val="00571113"/>
    <w:rsid w:val="005711E4"/>
    <w:rsid w:val="00571387"/>
    <w:rsid w:val="0057151D"/>
    <w:rsid w:val="00571BBC"/>
    <w:rsid w:val="0057215E"/>
    <w:rsid w:val="00572271"/>
    <w:rsid w:val="00572B41"/>
    <w:rsid w:val="00572F85"/>
    <w:rsid w:val="00573068"/>
    <w:rsid w:val="005730CE"/>
    <w:rsid w:val="005732C1"/>
    <w:rsid w:val="005733FD"/>
    <w:rsid w:val="0057375B"/>
    <w:rsid w:val="00573BA8"/>
    <w:rsid w:val="00573C15"/>
    <w:rsid w:val="00573F50"/>
    <w:rsid w:val="0057406E"/>
    <w:rsid w:val="00574140"/>
    <w:rsid w:val="0057494B"/>
    <w:rsid w:val="00574A5B"/>
    <w:rsid w:val="00574FBC"/>
    <w:rsid w:val="005751A5"/>
    <w:rsid w:val="0057522A"/>
    <w:rsid w:val="00575A29"/>
    <w:rsid w:val="00575B19"/>
    <w:rsid w:val="00575FA8"/>
    <w:rsid w:val="0057652A"/>
    <w:rsid w:val="00576627"/>
    <w:rsid w:val="005768AF"/>
    <w:rsid w:val="005778B8"/>
    <w:rsid w:val="005779F1"/>
    <w:rsid w:val="00577B91"/>
    <w:rsid w:val="0058071B"/>
    <w:rsid w:val="005808FB"/>
    <w:rsid w:val="005810B4"/>
    <w:rsid w:val="00581378"/>
    <w:rsid w:val="00581713"/>
    <w:rsid w:val="00581DD9"/>
    <w:rsid w:val="00582025"/>
    <w:rsid w:val="00582C16"/>
    <w:rsid w:val="005832CA"/>
    <w:rsid w:val="00583743"/>
    <w:rsid w:val="00584835"/>
    <w:rsid w:val="00587349"/>
    <w:rsid w:val="0058752B"/>
    <w:rsid w:val="0059183A"/>
    <w:rsid w:val="00591CE7"/>
    <w:rsid w:val="0059233F"/>
    <w:rsid w:val="00592607"/>
    <w:rsid w:val="0059345B"/>
    <w:rsid w:val="005934A1"/>
    <w:rsid w:val="005936D6"/>
    <w:rsid w:val="005939AA"/>
    <w:rsid w:val="00594625"/>
    <w:rsid w:val="0059467C"/>
    <w:rsid w:val="00594999"/>
    <w:rsid w:val="005949B2"/>
    <w:rsid w:val="00594AEE"/>
    <w:rsid w:val="005956BE"/>
    <w:rsid w:val="005957B5"/>
    <w:rsid w:val="00595AED"/>
    <w:rsid w:val="00595FBA"/>
    <w:rsid w:val="005961E0"/>
    <w:rsid w:val="005962FD"/>
    <w:rsid w:val="00596693"/>
    <w:rsid w:val="0059686A"/>
    <w:rsid w:val="0059796D"/>
    <w:rsid w:val="00597FCA"/>
    <w:rsid w:val="005A005C"/>
    <w:rsid w:val="005A01FE"/>
    <w:rsid w:val="005A06FA"/>
    <w:rsid w:val="005A0B05"/>
    <w:rsid w:val="005A0E01"/>
    <w:rsid w:val="005A126B"/>
    <w:rsid w:val="005A1599"/>
    <w:rsid w:val="005A15C6"/>
    <w:rsid w:val="005A1983"/>
    <w:rsid w:val="005A1A5D"/>
    <w:rsid w:val="005A1ABE"/>
    <w:rsid w:val="005A1F4C"/>
    <w:rsid w:val="005A235D"/>
    <w:rsid w:val="005A2599"/>
    <w:rsid w:val="005A262B"/>
    <w:rsid w:val="005A2B71"/>
    <w:rsid w:val="005A2CF1"/>
    <w:rsid w:val="005A2D80"/>
    <w:rsid w:val="005A3472"/>
    <w:rsid w:val="005A366E"/>
    <w:rsid w:val="005A3B41"/>
    <w:rsid w:val="005A4A50"/>
    <w:rsid w:val="005A5466"/>
    <w:rsid w:val="005A57C9"/>
    <w:rsid w:val="005A597D"/>
    <w:rsid w:val="005A5D2A"/>
    <w:rsid w:val="005A609C"/>
    <w:rsid w:val="005A68FA"/>
    <w:rsid w:val="005A6BDC"/>
    <w:rsid w:val="005A6DBC"/>
    <w:rsid w:val="005A75D6"/>
    <w:rsid w:val="005A75FD"/>
    <w:rsid w:val="005A7AB4"/>
    <w:rsid w:val="005A7BCD"/>
    <w:rsid w:val="005A7C74"/>
    <w:rsid w:val="005B007C"/>
    <w:rsid w:val="005B0C33"/>
    <w:rsid w:val="005B1C8C"/>
    <w:rsid w:val="005B1CF3"/>
    <w:rsid w:val="005B1E87"/>
    <w:rsid w:val="005B1FAB"/>
    <w:rsid w:val="005B2098"/>
    <w:rsid w:val="005B32F3"/>
    <w:rsid w:val="005B3506"/>
    <w:rsid w:val="005B3A08"/>
    <w:rsid w:val="005B5190"/>
    <w:rsid w:val="005B5A9E"/>
    <w:rsid w:val="005B61F9"/>
    <w:rsid w:val="005B6AD1"/>
    <w:rsid w:val="005B6C61"/>
    <w:rsid w:val="005B7BDB"/>
    <w:rsid w:val="005C01B6"/>
    <w:rsid w:val="005C01BD"/>
    <w:rsid w:val="005C044B"/>
    <w:rsid w:val="005C04B4"/>
    <w:rsid w:val="005C116E"/>
    <w:rsid w:val="005C1400"/>
    <w:rsid w:val="005C16B1"/>
    <w:rsid w:val="005C16D4"/>
    <w:rsid w:val="005C19AD"/>
    <w:rsid w:val="005C1EF0"/>
    <w:rsid w:val="005C1F43"/>
    <w:rsid w:val="005C26DB"/>
    <w:rsid w:val="005C2FD3"/>
    <w:rsid w:val="005C38E6"/>
    <w:rsid w:val="005C3F4F"/>
    <w:rsid w:val="005C427F"/>
    <w:rsid w:val="005C4878"/>
    <w:rsid w:val="005C4A72"/>
    <w:rsid w:val="005C510A"/>
    <w:rsid w:val="005C57B5"/>
    <w:rsid w:val="005C57E6"/>
    <w:rsid w:val="005C5CB0"/>
    <w:rsid w:val="005C6CB4"/>
    <w:rsid w:val="005C7075"/>
    <w:rsid w:val="005C70C9"/>
    <w:rsid w:val="005C76FC"/>
    <w:rsid w:val="005C7732"/>
    <w:rsid w:val="005D0D3B"/>
    <w:rsid w:val="005D1988"/>
    <w:rsid w:val="005D270C"/>
    <w:rsid w:val="005D2C59"/>
    <w:rsid w:val="005D2EB1"/>
    <w:rsid w:val="005D34E1"/>
    <w:rsid w:val="005D36FC"/>
    <w:rsid w:val="005D3F13"/>
    <w:rsid w:val="005D43A2"/>
    <w:rsid w:val="005D4443"/>
    <w:rsid w:val="005D4E18"/>
    <w:rsid w:val="005D4F43"/>
    <w:rsid w:val="005D5076"/>
    <w:rsid w:val="005D5505"/>
    <w:rsid w:val="005D61D4"/>
    <w:rsid w:val="005D6260"/>
    <w:rsid w:val="005D64DC"/>
    <w:rsid w:val="005D6B5E"/>
    <w:rsid w:val="005D72A7"/>
    <w:rsid w:val="005D72A9"/>
    <w:rsid w:val="005D7AC1"/>
    <w:rsid w:val="005D7BBF"/>
    <w:rsid w:val="005E0BC2"/>
    <w:rsid w:val="005E1875"/>
    <w:rsid w:val="005E1F1B"/>
    <w:rsid w:val="005E2CF4"/>
    <w:rsid w:val="005E31B2"/>
    <w:rsid w:val="005E32C4"/>
    <w:rsid w:val="005E3EDD"/>
    <w:rsid w:val="005E4065"/>
    <w:rsid w:val="005E4AA0"/>
    <w:rsid w:val="005E5694"/>
    <w:rsid w:val="005E5790"/>
    <w:rsid w:val="005E5849"/>
    <w:rsid w:val="005E58AA"/>
    <w:rsid w:val="005E5E51"/>
    <w:rsid w:val="005E6E91"/>
    <w:rsid w:val="005E75E8"/>
    <w:rsid w:val="005E7CC6"/>
    <w:rsid w:val="005F0B32"/>
    <w:rsid w:val="005F14E8"/>
    <w:rsid w:val="005F169A"/>
    <w:rsid w:val="005F19A4"/>
    <w:rsid w:val="005F1C1A"/>
    <w:rsid w:val="005F1C33"/>
    <w:rsid w:val="005F21C5"/>
    <w:rsid w:val="005F3B1B"/>
    <w:rsid w:val="005F40E3"/>
    <w:rsid w:val="005F4274"/>
    <w:rsid w:val="005F474B"/>
    <w:rsid w:val="005F4B83"/>
    <w:rsid w:val="005F4FEE"/>
    <w:rsid w:val="005F54A5"/>
    <w:rsid w:val="005F5959"/>
    <w:rsid w:val="005F65C3"/>
    <w:rsid w:val="005F6676"/>
    <w:rsid w:val="005F6926"/>
    <w:rsid w:val="005F74E9"/>
    <w:rsid w:val="006004E9"/>
    <w:rsid w:val="006005FD"/>
    <w:rsid w:val="00600F93"/>
    <w:rsid w:val="0060217D"/>
    <w:rsid w:val="0060351A"/>
    <w:rsid w:val="00603666"/>
    <w:rsid w:val="006036F4"/>
    <w:rsid w:val="00604539"/>
    <w:rsid w:val="006045CA"/>
    <w:rsid w:val="0060494D"/>
    <w:rsid w:val="00605324"/>
    <w:rsid w:val="00605F57"/>
    <w:rsid w:val="006061EA"/>
    <w:rsid w:val="006068DB"/>
    <w:rsid w:val="00610276"/>
    <w:rsid w:val="00610A0C"/>
    <w:rsid w:val="006112E1"/>
    <w:rsid w:val="006113A3"/>
    <w:rsid w:val="006115B7"/>
    <w:rsid w:val="00611AB0"/>
    <w:rsid w:val="006121DC"/>
    <w:rsid w:val="006129E9"/>
    <w:rsid w:val="00613210"/>
    <w:rsid w:val="00614E45"/>
    <w:rsid w:val="00614E60"/>
    <w:rsid w:val="006159A6"/>
    <w:rsid w:val="006170EA"/>
    <w:rsid w:val="00617DA5"/>
    <w:rsid w:val="006202F7"/>
    <w:rsid w:val="00620516"/>
    <w:rsid w:val="0062078F"/>
    <w:rsid w:val="00620F0E"/>
    <w:rsid w:val="0062252B"/>
    <w:rsid w:val="00622D88"/>
    <w:rsid w:val="00622D92"/>
    <w:rsid w:val="0062327C"/>
    <w:rsid w:val="00624806"/>
    <w:rsid w:val="00624CA1"/>
    <w:rsid w:val="006250EB"/>
    <w:rsid w:val="00625B54"/>
    <w:rsid w:val="00625BAB"/>
    <w:rsid w:val="00625D51"/>
    <w:rsid w:val="00625E34"/>
    <w:rsid w:val="0062651C"/>
    <w:rsid w:val="00626A6C"/>
    <w:rsid w:val="00627606"/>
    <w:rsid w:val="00630605"/>
    <w:rsid w:val="00630A3C"/>
    <w:rsid w:val="00630D6C"/>
    <w:rsid w:val="00630F0A"/>
    <w:rsid w:val="0063100B"/>
    <w:rsid w:val="00631175"/>
    <w:rsid w:val="00631688"/>
    <w:rsid w:val="006328FE"/>
    <w:rsid w:val="00632CF2"/>
    <w:rsid w:val="00632EE2"/>
    <w:rsid w:val="0063348B"/>
    <w:rsid w:val="00633A4D"/>
    <w:rsid w:val="00633C66"/>
    <w:rsid w:val="00633C86"/>
    <w:rsid w:val="0063483A"/>
    <w:rsid w:val="00634B7A"/>
    <w:rsid w:val="00634C8C"/>
    <w:rsid w:val="0063587A"/>
    <w:rsid w:val="00635D4B"/>
    <w:rsid w:val="006360A6"/>
    <w:rsid w:val="00636586"/>
    <w:rsid w:val="00637A79"/>
    <w:rsid w:val="006401DC"/>
    <w:rsid w:val="00640446"/>
    <w:rsid w:val="0064068F"/>
    <w:rsid w:val="006407F5"/>
    <w:rsid w:val="00640DA1"/>
    <w:rsid w:val="00640EDE"/>
    <w:rsid w:val="0064150A"/>
    <w:rsid w:val="006417A6"/>
    <w:rsid w:val="006419CA"/>
    <w:rsid w:val="00641F7F"/>
    <w:rsid w:val="006423C3"/>
    <w:rsid w:val="006426AE"/>
    <w:rsid w:val="00643C4F"/>
    <w:rsid w:val="0064491A"/>
    <w:rsid w:val="006454BD"/>
    <w:rsid w:val="00645CCB"/>
    <w:rsid w:val="00645CE8"/>
    <w:rsid w:val="00645FD6"/>
    <w:rsid w:val="006463F1"/>
    <w:rsid w:val="006467B3"/>
    <w:rsid w:val="00646806"/>
    <w:rsid w:val="00647385"/>
    <w:rsid w:val="00647D61"/>
    <w:rsid w:val="00647DE6"/>
    <w:rsid w:val="00650254"/>
    <w:rsid w:val="00650AE1"/>
    <w:rsid w:val="006511CE"/>
    <w:rsid w:val="006513D4"/>
    <w:rsid w:val="00652572"/>
    <w:rsid w:val="006528DD"/>
    <w:rsid w:val="00652D64"/>
    <w:rsid w:val="006535AB"/>
    <w:rsid w:val="006537A2"/>
    <w:rsid w:val="00653934"/>
    <w:rsid w:val="00653B3C"/>
    <w:rsid w:val="00654F3C"/>
    <w:rsid w:val="006550F0"/>
    <w:rsid w:val="0065513F"/>
    <w:rsid w:val="00655227"/>
    <w:rsid w:val="00656189"/>
    <w:rsid w:val="00656A06"/>
    <w:rsid w:val="00657063"/>
    <w:rsid w:val="00657C2A"/>
    <w:rsid w:val="0066083A"/>
    <w:rsid w:val="006619BE"/>
    <w:rsid w:val="00661BA4"/>
    <w:rsid w:val="0066202F"/>
    <w:rsid w:val="006622BE"/>
    <w:rsid w:val="0066281E"/>
    <w:rsid w:val="00663236"/>
    <w:rsid w:val="0066327C"/>
    <w:rsid w:val="00663851"/>
    <w:rsid w:val="0066412E"/>
    <w:rsid w:val="006649A8"/>
    <w:rsid w:val="00664BA0"/>
    <w:rsid w:val="00664DF4"/>
    <w:rsid w:val="006653EC"/>
    <w:rsid w:val="0066595D"/>
    <w:rsid w:val="00665B91"/>
    <w:rsid w:val="00665F85"/>
    <w:rsid w:val="006660C0"/>
    <w:rsid w:val="00666A8A"/>
    <w:rsid w:val="006678F5"/>
    <w:rsid w:val="006704D0"/>
    <w:rsid w:val="00670A9F"/>
    <w:rsid w:val="00671919"/>
    <w:rsid w:val="00671D72"/>
    <w:rsid w:val="0067221F"/>
    <w:rsid w:val="00672EA2"/>
    <w:rsid w:val="00672F75"/>
    <w:rsid w:val="006733C1"/>
    <w:rsid w:val="00673B81"/>
    <w:rsid w:val="00674745"/>
    <w:rsid w:val="00674764"/>
    <w:rsid w:val="00674AA4"/>
    <w:rsid w:val="0067569C"/>
    <w:rsid w:val="00675BCA"/>
    <w:rsid w:val="00676AA4"/>
    <w:rsid w:val="00676B5B"/>
    <w:rsid w:val="00676BB5"/>
    <w:rsid w:val="006777DA"/>
    <w:rsid w:val="00680428"/>
    <w:rsid w:val="00680892"/>
    <w:rsid w:val="00680D8B"/>
    <w:rsid w:val="0068165B"/>
    <w:rsid w:val="00681BBA"/>
    <w:rsid w:val="00682357"/>
    <w:rsid w:val="006826C7"/>
    <w:rsid w:val="006833BF"/>
    <w:rsid w:val="006834AD"/>
    <w:rsid w:val="006834D3"/>
    <w:rsid w:val="00683598"/>
    <w:rsid w:val="00683A63"/>
    <w:rsid w:val="00683E67"/>
    <w:rsid w:val="00683E7A"/>
    <w:rsid w:val="00684F32"/>
    <w:rsid w:val="00685040"/>
    <w:rsid w:val="006855AC"/>
    <w:rsid w:val="006856C8"/>
    <w:rsid w:val="00685D14"/>
    <w:rsid w:val="00685E52"/>
    <w:rsid w:val="00686FD3"/>
    <w:rsid w:val="00687124"/>
    <w:rsid w:val="00690BCB"/>
    <w:rsid w:val="006910D9"/>
    <w:rsid w:val="006918E2"/>
    <w:rsid w:val="00691B30"/>
    <w:rsid w:val="00691CE2"/>
    <w:rsid w:val="00692C2F"/>
    <w:rsid w:val="00693474"/>
    <w:rsid w:val="00693FD1"/>
    <w:rsid w:val="006943FF"/>
    <w:rsid w:val="00694552"/>
    <w:rsid w:val="006956EA"/>
    <w:rsid w:val="00695ADF"/>
    <w:rsid w:val="0069679D"/>
    <w:rsid w:val="006971E0"/>
    <w:rsid w:val="00697231"/>
    <w:rsid w:val="00697DA6"/>
    <w:rsid w:val="006A0549"/>
    <w:rsid w:val="006A078F"/>
    <w:rsid w:val="006A0C32"/>
    <w:rsid w:val="006A0DAC"/>
    <w:rsid w:val="006A1716"/>
    <w:rsid w:val="006A213C"/>
    <w:rsid w:val="006A2356"/>
    <w:rsid w:val="006A24EC"/>
    <w:rsid w:val="006A2544"/>
    <w:rsid w:val="006A3AA9"/>
    <w:rsid w:val="006A3BCB"/>
    <w:rsid w:val="006A4ABE"/>
    <w:rsid w:val="006A5083"/>
    <w:rsid w:val="006A6017"/>
    <w:rsid w:val="006A6C40"/>
    <w:rsid w:val="006A6C51"/>
    <w:rsid w:val="006A6C61"/>
    <w:rsid w:val="006A766F"/>
    <w:rsid w:val="006A7C67"/>
    <w:rsid w:val="006A7D9A"/>
    <w:rsid w:val="006B0207"/>
    <w:rsid w:val="006B0467"/>
    <w:rsid w:val="006B0FB2"/>
    <w:rsid w:val="006B1353"/>
    <w:rsid w:val="006B27DC"/>
    <w:rsid w:val="006B299B"/>
    <w:rsid w:val="006B29AF"/>
    <w:rsid w:val="006B2AA5"/>
    <w:rsid w:val="006B2B99"/>
    <w:rsid w:val="006B3192"/>
    <w:rsid w:val="006B3278"/>
    <w:rsid w:val="006B3635"/>
    <w:rsid w:val="006B3E1A"/>
    <w:rsid w:val="006B3E4C"/>
    <w:rsid w:val="006B43CA"/>
    <w:rsid w:val="006B44AE"/>
    <w:rsid w:val="006B452C"/>
    <w:rsid w:val="006B5183"/>
    <w:rsid w:val="006B56C0"/>
    <w:rsid w:val="006B5B28"/>
    <w:rsid w:val="006B63B9"/>
    <w:rsid w:val="006B73CA"/>
    <w:rsid w:val="006B7A24"/>
    <w:rsid w:val="006B7AD1"/>
    <w:rsid w:val="006C1DA9"/>
    <w:rsid w:val="006C2028"/>
    <w:rsid w:val="006C2903"/>
    <w:rsid w:val="006C2FD5"/>
    <w:rsid w:val="006C37DD"/>
    <w:rsid w:val="006C3A78"/>
    <w:rsid w:val="006C3E1A"/>
    <w:rsid w:val="006C4701"/>
    <w:rsid w:val="006C5749"/>
    <w:rsid w:val="006C5A8A"/>
    <w:rsid w:val="006C5F8E"/>
    <w:rsid w:val="006C6714"/>
    <w:rsid w:val="006C6770"/>
    <w:rsid w:val="006C693A"/>
    <w:rsid w:val="006C7345"/>
    <w:rsid w:val="006C73DE"/>
    <w:rsid w:val="006C7421"/>
    <w:rsid w:val="006D18A4"/>
    <w:rsid w:val="006D1A32"/>
    <w:rsid w:val="006D1A94"/>
    <w:rsid w:val="006D1BAF"/>
    <w:rsid w:val="006D30C3"/>
    <w:rsid w:val="006D4246"/>
    <w:rsid w:val="006D4609"/>
    <w:rsid w:val="006D477D"/>
    <w:rsid w:val="006D4A58"/>
    <w:rsid w:val="006D5467"/>
    <w:rsid w:val="006D570D"/>
    <w:rsid w:val="006D5EA6"/>
    <w:rsid w:val="006D5F3D"/>
    <w:rsid w:val="006D628D"/>
    <w:rsid w:val="006D64C7"/>
    <w:rsid w:val="006D6DE7"/>
    <w:rsid w:val="006D70A6"/>
    <w:rsid w:val="006D7124"/>
    <w:rsid w:val="006D71D0"/>
    <w:rsid w:val="006E0132"/>
    <w:rsid w:val="006E0985"/>
    <w:rsid w:val="006E09AA"/>
    <w:rsid w:val="006E11B9"/>
    <w:rsid w:val="006E1D0F"/>
    <w:rsid w:val="006E2298"/>
    <w:rsid w:val="006E3675"/>
    <w:rsid w:val="006E368E"/>
    <w:rsid w:val="006E5112"/>
    <w:rsid w:val="006E58EC"/>
    <w:rsid w:val="006E5A53"/>
    <w:rsid w:val="006E5BCB"/>
    <w:rsid w:val="006E5BED"/>
    <w:rsid w:val="006E5C23"/>
    <w:rsid w:val="006E6098"/>
    <w:rsid w:val="006E6400"/>
    <w:rsid w:val="006E7F9B"/>
    <w:rsid w:val="006F027C"/>
    <w:rsid w:val="006F0E7D"/>
    <w:rsid w:val="006F112B"/>
    <w:rsid w:val="006F1719"/>
    <w:rsid w:val="006F1738"/>
    <w:rsid w:val="006F2049"/>
    <w:rsid w:val="006F2141"/>
    <w:rsid w:val="006F223A"/>
    <w:rsid w:val="006F2417"/>
    <w:rsid w:val="006F255E"/>
    <w:rsid w:val="006F26B8"/>
    <w:rsid w:val="006F3332"/>
    <w:rsid w:val="006F3714"/>
    <w:rsid w:val="006F3CD5"/>
    <w:rsid w:val="006F583F"/>
    <w:rsid w:val="006F58DD"/>
    <w:rsid w:val="006F6271"/>
    <w:rsid w:val="006F6521"/>
    <w:rsid w:val="006F6642"/>
    <w:rsid w:val="006F6BF9"/>
    <w:rsid w:val="006F6CAC"/>
    <w:rsid w:val="006F72E2"/>
    <w:rsid w:val="006F73A0"/>
    <w:rsid w:val="006F7592"/>
    <w:rsid w:val="006F7BAC"/>
    <w:rsid w:val="0070053C"/>
    <w:rsid w:val="007009B7"/>
    <w:rsid w:val="0070121F"/>
    <w:rsid w:val="00701A68"/>
    <w:rsid w:val="00701F24"/>
    <w:rsid w:val="00702221"/>
    <w:rsid w:val="007024CE"/>
    <w:rsid w:val="0070252C"/>
    <w:rsid w:val="00702D24"/>
    <w:rsid w:val="0070315A"/>
    <w:rsid w:val="0070399F"/>
    <w:rsid w:val="00703B34"/>
    <w:rsid w:val="00704157"/>
    <w:rsid w:val="00704917"/>
    <w:rsid w:val="00704B63"/>
    <w:rsid w:val="00704FE7"/>
    <w:rsid w:val="00705450"/>
    <w:rsid w:val="00705896"/>
    <w:rsid w:val="00705EC8"/>
    <w:rsid w:val="0070606C"/>
    <w:rsid w:val="007066E8"/>
    <w:rsid w:val="00706802"/>
    <w:rsid w:val="00706F1C"/>
    <w:rsid w:val="00707260"/>
    <w:rsid w:val="0070786B"/>
    <w:rsid w:val="00707CB9"/>
    <w:rsid w:val="0071026A"/>
    <w:rsid w:val="0071031C"/>
    <w:rsid w:val="0071109A"/>
    <w:rsid w:val="007114D6"/>
    <w:rsid w:val="00711A50"/>
    <w:rsid w:val="00711EC8"/>
    <w:rsid w:val="0071206D"/>
    <w:rsid w:val="00712C80"/>
    <w:rsid w:val="00712E13"/>
    <w:rsid w:val="00713EC7"/>
    <w:rsid w:val="007142FF"/>
    <w:rsid w:val="007147C6"/>
    <w:rsid w:val="00714BB7"/>
    <w:rsid w:val="007158B5"/>
    <w:rsid w:val="00716BEF"/>
    <w:rsid w:val="0071792E"/>
    <w:rsid w:val="00717D77"/>
    <w:rsid w:val="007209E7"/>
    <w:rsid w:val="007218E8"/>
    <w:rsid w:val="00721F17"/>
    <w:rsid w:val="00722138"/>
    <w:rsid w:val="00722EE3"/>
    <w:rsid w:val="00724FEB"/>
    <w:rsid w:val="00727759"/>
    <w:rsid w:val="00727888"/>
    <w:rsid w:val="00730069"/>
    <w:rsid w:val="0073036F"/>
    <w:rsid w:val="00730899"/>
    <w:rsid w:val="00731720"/>
    <w:rsid w:val="00731D0B"/>
    <w:rsid w:val="0073219B"/>
    <w:rsid w:val="007321BF"/>
    <w:rsid w:val="007323EC"/>
    <w:rsid w:val="0073263B"/>
    <w:rsid w:val="007326B8"/>
    <w:rsid w:val="00732F36"/>
    <w:rsid w:val="00732FAC"/>
    <w:rsid w:val="00734A33"/>
    <w:rsid w:val="00734B46"/>
    <w:rsid w:val="0073539E"/>
    <w:rsid w:val="0073573F"/>
    <w:rsid w:val="0073577C"/>
    <w:rsid w:val="007357FB"/>
    <w:rsid w:val="00735C4B"/>
    <w:rsid w:val="00735E44"/>
    <w:rsid w:val="00736CB7"/>
    <w:rsid w:val="00736F18"/>
    <w:rsid w:val="007373B6"/>
    <w:rsid w:val="007374F6"/>
    <w:rsid w:val="00737500"/>
    <w:rsid w:val="007376AB"/>
    <w:rsid w:val="00737769"/>
    <w:rsid w:val="00737A89"/>
    <w:rsid w:val="00737DA1"/>
    <w:rsid w:val="007400A2"/>
    <w:rsid w:val="00740158"/>
    <w:rsid w:val="007402CD"/>
    <w:rsid w:val="007403C1"/>
    <w:rsid w:val="0074049E"/>
    <w:rsid w:val="0074064F"/>
    <w:rsid w:val="007407EE"/>
    <w:rsid w:val="00741EA4"/>
    <w:rsid w:val="007426AA"/>
    <w:rsid w:val="007427A2"/>
    <w:rsid w:val="00742C08"/>
    <w:rsid w:val="00742F8E"/>
    <w:rsid w:val="007434FF"/>
    <w:rsid w:val="00743DDF"/>
    <w:rsid w:val="0074409A"/>
    <w:rsid w:val="00744195"/>
    <w:rsid w:val="0074483E"/>
    <w:rsid w:val="00744C7A"/>
    <w:rsid w:val="00746BF2"/>
    <w:rsid w:val="00746C0C"/>
    <w:rsid w:val="00747E2C"/>
    <w:rsid w:val="00747FF5"/>
    <w:rsid w:val="00750B4E"/>
    <w:rsid w:val="00751132"/>
    <w:rsid w:val="007518C8"/>
    <w:rsid w:val="00751EA5"/>
    <w:rsid w:val="00752485"/>
    <w:rsid w:val="00752B1F"/>
    <w:rsid w:val="00753928"/>
    <w:rsid w:val="00753A3A"/>
    <w:rsid w:val="00753B15"/>
    <w:rsid w:val="007555EE"/>
    <w:rsid w:val="00755A05"/>
    <w:rsid w:val="007561F0"/>
    <w:rsid w:val="0075679D"/>
    <w:rsid w:val="007567BF"/>
    <w:rsid w:val="00757853"/>
    <w:rsid w:val="00760269"/>
    <w:rsid w:val="00760503"/>
    <w:rsid w:val="007612D1"/>
    <w:rsid w:val="007624B9"/>
    <w:rsid w:val="007628EF"/>
    <w:rsid w:val="00763569"/>
    <w:rsid w:val="00764C42"/>
    <w:rsid w:val="00764EB6"/>
    <w:rsid w:val="00765249"/>
    <w:rsid w:val="00765A9F"/>
    <w:rsid w:val="00765BB2"/>
    <w:rsid w:val="00766396"/>
    <w:rsid w:val="007663DE"/>
    <w:rsid w:val="0076648B"/>
    <w:rsid w:val="00766E07"/>
    <w:rsid w:val="00767406"/>
    <w:rsid w:val="00767B46"/>
    <w:rsid w:val="0077128C"/>
    <w:rsid w:val="00771864"/>
    <w:rsid w:val="007727C2"/>
    <w:rsid w:val="00773260"/>
    <w:rsid w:val="0077326F"/>
    <w:rsid w:val="00773D4B"/>
    <w:rsid w:val="007742A5"/>
    <w:rsid w:val="00774545"/>
    <w:rsid w:val="007750BD"/>
    <w:rsid w:val="0077639F"/>
    <w:rsid w:val="007774B8"/>
    <w:rsid w:val="007801DA"/>
    <w:rsid w:val="007803DA"/>
    <w:rsid w:val="007804F8"/>
    <w:rsid w:val="007806C5"/>
    <w:rsid w:val="00781649"/>
    <w:rsid w:val="00782465"/>
    <w:rsid w:val="0078306B"/>
    <w:rsid w:val="0078339C"/>
    <w:rsid w:val="00783A07"/>
    <w:rsid w:val="00783D56"/>
    <w:rsid w:val="00783E1E"/>
    <w:rsid w:val="00784F10"/>
    <w:rsid w:val="00785132"/>
    <w:rsid w:val="007853BA"/>
    <w:rsid w:val="00786499"/>
    <w:rsid w:val="00786836"/>
    <w:rsid w:val="00786C5D"/>
    <w:rsid w:val="007876BB"/>
    <w:rsid w:val="00787799"/>
    <w:rsid w:val="00787E38"/>
    <w:rsid w:val="0079023D"/>
    <w:rsid w:val="00790813"/>
    <w:rsid w:val="0079106B"/>
    <w:rsid w:val="007916C7"/>
    <w:rsid w:val="007917B2"/>
    <w:rsid w:val="00791988"/>
    <w:rsid w:val="00791BB4"/>
    <w:rsid w:val="00791BF5"/>
    <w:rsid w:val="00792BAA"/>
    <w:rsid w:val="00792C5B"/>
    <w:rsid w:val="00792D0A"/>
    <w:rsid w:val="00793245"/>
    <w:rsid w:val="007935F0"/>
    <w:rsid w:val="0079361A"/>
    <w:rsid w:val="00793AFD"/>
    <w:rsid w:val="00794A90"/>
    <w:rsid w:val="00794B13"/>
    <w:rsid w:val="00794D3A"/>
    <w:rsid w:val="007953A1"/>
    <w:rsid w:val="00795E39"/>
    <w:rsid w:val="00796836"/>
    <w:rsid w:val="007969A2"/>
    <w:rsid w:val="007969AE"/>
    <w:rsid w:val="00796CED"/>
    <w:rsid w:val="00797E38"/>
    <w:rsid w:val="007A069D"/>
    <w:rsid w:val="007A0917"/>
    <w:rsid w:val="007A0B0A"/>
    <w:rsid w:val="007A0F5D"/>
    <w:rsid w:val="007A157A"/>
    <w:rsid w:val="007A15ED"/>
    <w:rsid w:val="007A186C"/>
    <w:rsid w:val="007A1EB4"/>
    <w:rsid w:val="007A3095"/>
    <w:rsid w:val="007A311D"/>
    <w:rsid w:val="007A31C9"/>
    <w:rsid w:val="007A3B07"/>
    <w:rsid w:val="007A3F9C"/>
    <w:rsid w:val="007A4F54"/>
    <w:rsid w:val="007A52B2"/>
    <w:rsid w:val="007A5655"/>
    <w:rsid w:val="007A566A"/>
    <w:rsid w:val="007A5999"/>
    <w:rsid w:val="007A71B6"/>
    <w:rsid w:val="007B0708"/>
    <w:rsid w:val="007B0997"/>
    <w:rsid w:val="007B0BD9"/>
    <w:rsid w:val="007B11A4"/>
    <w:rsid w:val="007B17D3"/>
    <w:rsid w:val="007B20E9"/>
    <w:rsid w:val="007B2549"/>
    <w:rsid w:val="007B296B"/>
    <w:rsid w:val="007B2DBB"/>
    <w:rsid w:val="007B2DDE"/>
    <w:rsid w:val="007B3112"/>
    <w:rsid w:val="007B3795"/>
    <w:rsid w:val="007B4803"/>
    <w:rsid w:val="007B4A7D"/>
    <w:rsid w:val="007B634E"/>
    <w:rsid w:val="007B6C4A"/>
    <w:rsid w:val="007B7037"/>
    <w:rsid w:val="007B7665"/>
    <w:rsid w:val="007B7713"/>
    <w:rsid w:val="007B7DD3"/>
    <w:rsid w:val="007B7F8D"/>
    <w:rsid w:val="007B7FAF"/>
    <w:rsid w:val="007C0312"/>
    <w:rsid w:val="007C0458"/>
    <w:rsid w:val="007C0AF1"/>
    <w:rsid w:val="007C243A"/>
    <w:rsid w:val="007C24E1"/>
    <w:rsid w:val="007C3AA3"/>
    <w:rsid w:val="007C3DA7"/>
    <w:rsid w:val="007C3F5F"/>
    <w:rsid w:val="007C3FE2"/>
    <w:rsid w:val="007C42A6"/>
    <w:rsid w:val="007C47EA"/>
    <w:rsid w:val="007C5C17"/>
    <w:rsid w:val="007C6B61"/>
    <w:rsid w:val="007C6B97"/>
    <w:rsid w:val="007C7515"/>
    <w:rsid w:val="007C7AC0"/>
    <w:rsid w:val="007C7B34"/>
    <w:rsid w:val="007D03AA"/>
    <w:rsid w:val="007D0661"/>
    <w:rsid w:val="007D075F"/>
    <w:rsid w:val="007D0A2D"/>
    <w:rsid w:val="007D0B18"/>
    <w:rsid w:val="007D0B98"/>
    <w:rsid w:val="007D0BC6"/>
    <w:rsid w:val="007D1915"/>
    <w:rsid w:val="007D2062"/>
    <w:rsid w:val="007D39EA"/>
    <w:rsid w:val="007D3CA5"/>
    <w:rsid w:val="007D3D1F"/>
    <w:rsid w:val="007D3F74"/>
    <w:rsid w:val="007D411B"/>
    <w:rsid w:val="007D50E8"/>
    <w:rsid w:val="007D668B"/>
    <w:rsid w:val="007D7D77"/>
    <w:rsid w:val="007E0004"/>
    <w:rsid w:val="007E09BF"/>
    <w:rsid w:val="007E0A72"/>
    <w:rsid w:val="007E1638"/>
    <w:rsid w:val="007E1AE2"/>
    <w:rsid w:val="007E2118"/>
    <w:rsid w:val="007E2BDC"/>
    <w:rsid w:val="007E2F0B"/>
    <w:rsid w:val="007E301E"/>
    <w:rsid w:val="007E3394"/>
    <w:rsid w:val="007E3D0C"/>
    <w:rsid w:val="007E3D17"/>
    <w:rsid w:val="007E504C"/>
    <w:rsid w:val="007E5B1A"/>
    <w:rsid w:val="007E5F1A"/>
    <w:rsid w:val="007E644D"/>
    <w:rsid w:val="007E651B"/>
    <w:rsid w:val="007E69D0"/>
    <w:rsid w:val="007E6A9C"/>
    <w:rsid w:val="007E77E9"/>
    <w:rsid w:val="007F09EA"/>
    <w:rsid w:val="007F163B"/>
    <w:rsid w:val="007F1731"/>
    <w:rsid w:val="007F1CF9"/>
    <w:rsid w:val="007F3C5F"/>
    <w:rsid w:val="007F6308"/>
    <w:rsid w:val="007F6AD1"/>
    <w:rsid w:val="007F6B6A"/>
    <w:rsid w:val="007F72B4"/>
    <w:rsid w:val="007F7375"/>
    <w:rsid w:val="007F7637"/>
    <w:rsid w:val="007F7912"/>
    <w:rsid w:val="007F7E92"/>
    <w:rsid w:val="00800037"/>
    <w:rsid w:val="00800E11"/>
    <w:rsid w:val="00802200"/>
    <w:rsid w:val="008025B5"/>
    <w:rsid w:val="0080321E"/>
    <w:rsid w:val="008036D2"/>
    <w:rsid w:val="0080385B"/>
    <w:rsid w:val="0080414F"/>
    <w:rsid w:val="0080452D"/>
    <w:rsid w:val="0080463A"/>
    <w:rsid w:val="008054D1"/>
    <w:rsid w:val="00805664"/>
    <w:rsid w:val="00805748"/>
    <w:rsid w:val="00805ADC"/>
    <w:rsid w:val="008066BA"/>
    <w:rsid w:val="008069C7"/>
    <w:rsid w:val="00806C46"/>
    <w:rsid w:val="00807832"/>
    <w:rsid w:val="0081025B"/>
    <w:rsid w:val="0081059E"/>
    <w:rsid w:val="008105B4"/>
    <w:rsid w:val="00812666"/>
    <w:rsid w:val="008137F4"/>
    <w:rsid w:val="00814037"/>
    <w:rsid w:val="00814406"/>
    <w:rsid w:val="00814564"/>
    <w:rsid w:val="00814576"/>
    <w:rsid w:val="00814BD5"/>
    <w:rsid w:val="00814EF8"/>
    <w:rsid w:val="008154C2"/>
    <w:rsid w:val="00815BF1"/>
    <w:rsid w:val="00815D68"/>
    <w:rsid w:val="00816E87"/>
    <w:rsid w:val="0081724D"/>
    <w:rsid w:val="00817355"/>
    <w:rsid w:val="00817FB7"/>
    <w:rsid w:val="008200DE"/>
    <w:rsid w:val="0082054A"/>
    <w:rsid w:val="00820C2E"/>
    <w:rsid w:val="0082134A"/>
    <w:rsid w:val="00821897"/>
    <w:rsid w:val="0082198A"/>
    <w:rsid w:val="00822341"/>
    <w:rsid w:val="008225D6"/>
    <w:rsid w:val="00822EC0"/>
    <w:rsid w:val="00823D1A"/>
    <w:rsid w:val="00823FE1"/>
    <w:rsid w:val="0082542C"/>
    <w:rsid w:val="0082587B"/>
    <w:rsid w:val="00825AA1"/>
    <w:rsid w:val="00825B88"/>
    <w:rsid w:val="00825CB7"/>
    <w:rsid w:val="00825CC6"/>
    <w:rsid w:val="00826251"/>
    <w:rsid w:val="00826987"/>
    <w:rsid w:val="008269E6"/>
    <w:rsid w:val="008275DF"/>
    <w:rsid w:val="00827981"/>
    <w:rsid w:val="00830554"/>
    <w:rsid w:val="0083084F"/>
    <w:rsid w:val="008313D3"/>
    <w:rsid w:val="008315CC"/>
    <w:rsid w:val="00831716"/>
    <w:rsid w:val="00834641"/>
    <w:rsid w:val="0083478D"/>
    <w:rsid w:val="00834D34"/>
    <w:rsid w:val="008356CB"/>
    <w:rsid w:val="0083613D"/>
    <w:rsid w:val="008379B8"/>
    <w:rsid w:val="008379C7"/>
    <w:rsid w:val="0084055B"/>
    <w:rsid w:val="00840E5A"/>
    <w:rsid w:val="00842A52"/>
    <w:rsid w:val="008442BE"/>
    <w:rsid w:val="00844A51"/>
    <w:rsid w:val="00844C9A"/>
    <w:rsid w:val="00844FDF"/>
    <w:rsid w:val="0084548C"/>
    <w:rsid w:val="008458FC"/>
    <w:rsid w:val="008461D1"/>
    <w:rsid w:val="00850221"/>
    <w:rsid w:val="008502E6"/>
    <w:rsid w:val="0085086D"/>
    <w:rsid w:val="00850FBC"/>
    <w:rsid w:val="00851177"/>
    <w:rsid w:val="00851410"/>
    <w:rsid w:val="008517BC"/>
    <w:rsid w:val="00851CF4"/>
    <w:rsid w:val="00851E75"/>
    <w:rsid w:val="00852276"/>
    <w:rsid w:val="008526FA"/>
    <w:rsid w:val="00852A20"/>
    <w:rsid w:val="00852D0C"/>
    <w:rsid w:val="0085327F"/>
    <w:rsid w:val="00853C9D"/>
    <w:rsid w:val="00854CBE"/>
    <w:rsid w:val="00855A8E"/>
    <w:rsid w:val="00855BAC"/>
    <w:rsid w:val="00855D6C"/>
    <w:rsid w:val="008561CF"/>
    <w:rsid w:val="00856462"/>
    <w:rsid w:val="00856908"/>
    <w:rsid w:val="00856B25"/>
    <w:rsid w:val="008574AA"/>
    <w:rsid w:val="00857741"/>
    <w:rsid w:val="00860525"/>
    <w:rsid w:val="0086076F"/>
    <w:rsid w:val="008608FB"/>
    <w:rsid w:val="00860BE2"/>
    <w:rsid w:val="00861638"/>
    <w:rsid w:val="0086273A"/>
    <w:rsid w:val="008629A4"/>
    <w:rsid w:val="00862B2F"/>
    <w:rsid w:val="008630BF"/>
    <w:rsid w:val="00863154"/>
    <w:rsid w:val="00865922"/>
    <w:rsid w:val="00866243"/>
    <w:rsid w:val="00866F41"/>
    <w:rsid w:val="00867843"/>
    <w:rsid w:val="00870127"/>
    <w:rsid w:val="00870638"/>
    <w:rsid w:val="008708F8"/>
    <w:rsid w:val="00872498"/>
    <w:rsid w:val="008736F2"/>
    <w:rsid w:val="00873885"/>
    <w:rsid w:val="008741B5"/>
    <w:rsid w:val="00874605"/>
    <w:rsid w:val="00874A2D"/>
    <w:rsid w:val="00875A22"/>
    <w:rsid w:val="00875C36"/>
    <w:rsid w:val="00876227"/>
    <w:rsid w:val="00876557"/>
    <w:rsid w:val="00876579"/>
    <w:rsid w:val="0087668F"/>
    <w:rsid w:val="00876850"/>
    <w:rsid w:val="00876DB1"/>
    <w:rsid w:val="00876EB4"/>
    <w:rsid w:val="008774A6"/>
    <w:rsid w:val="008777EC"/>
    <w:rsid w:val="00877E23"/>
    <w:rsid w:val="00880044"/>
    <w:rsid w:val="008801C2"/>
    <w:rsid w:val="00880286"/>
    <w:rsid w:val="0088083D"/>
    <w:rsid w:val="00880D27"/>
    <w:rsid w:val="00881444"/>
    <w:rsid w:val="00881610"/>
    <w:rsid w:val="00881E2A"/>
    <w:rsid w:val="00881E3D"/>
    <w:rsid w:val="008821C2"/>
    <w:rsid w:val="008822A2"/>
    <w:rsid w:val="00882991"/>
    <w:rsid w:val="00882BD2"/>
    <w:rsid w:val="00882EC5"/>
    <w:rsid w:val="00884251"/>
    <w:rsid w:val="00884545"/>
    <w:rsid w:val="0088460E"/>
    <w:rsid w:val="008849A1"/>
    <w:rsid w:val="00885640"/>
    <w:rsid w:val="00885F5C"/>
    <w:rsid w:val="008865FB"/>
    <w:rsid w:val="008866FA"/>
    <w:rsid w:val="008871EA"/>
    <w:rsid w:val="00887EFC"/>
    <w:rsid w:val="00887F6F"/>
    <w:rsid w:val="00887FD3"/>
    <w:rsid w:val="0089086F"/>
    <w:rsid w:val="00891100"/>
    <w:rsid w:val="00892697"/>
    <w:rsid w:val="008928D6"/>
    <w:rsid w:val="008931AF"/>
    <w:rsid w:val="008934E2"/>
    <w:rsid w:val="008936D5"/>
    <w:rsid w:val="00893C49"/>
    <w:rsid w:val="0089414C"/>
    <w:rsid w:val="00894393"/>
    <w:rsid w:val="008950E8"/>
    <w:rsid w:val="008959CC"/>
    <w:rsid w:val="00895C6F"/>
    <w:rsid w:val="00895DF1"/>
    <w:rsid w:val="00896A0F"/>
    <w:rsid w:val="008A0762"/>
    <w:rsid w:val="008A0D4F"/>
    <w:rsid w:val="008A1DF1"/>
    <w:rsid w:val="008A2074"/>
    <w:rsid w:val="008A265A"/>
    <w:rsid w:val="008A30FC"/>
    <w:rsid w:val="008A356A"/>
    <w:rsid w:val="008A3753"/>
    <w:rsid w:val="008A3C44"/>
    <w:rsid w:val="008A3E4B"/>
    <w:rsid w:val="008A5B95"/>
    <w:rsid w:val="008A6006"/>
    <w:rsid w:val="008A6A7D"/>
    <w:rsid w:val="008A7601"/>
    <w:rsid w:val="008A7B53"/>
    <w:rsid w:val="008A7D3B"/>
    <w:rsid w:val="008B0132"/>
    <w:rsid w:val="008B0531"/>
    <w:rsid w:val="008B0F62"/>
    <w:rsid w:val="008B15ED"/>
    <w:rsid w:val="008B1AD9"/>
    <w:rsid w:val="008B1B1D"/>
    <w:rsid w:val="008B2283"/>
    <w:rsid w:val="008B37DE"/>
    <w:rsid w:val="008B39DC"/>
    <w:rsid w:val="008B3DEC"/>
    <w:rsid w:val="008B4B65"/>
    <w:rsid w:val="008B4D65"/>
    <w:rsid w:val="008B5B09"/>
    <w:rsid w:val="008B71A5"/>
    <w:rsid w:val="008B740D"/>
    <w:rsid w:val="008B75C0"/>
    <w:rsid w:val="008B75EE"/>
    <w:rsid w:val="008C0018"/>
    <w:rsid w:val="008C3247"/>
    <w:rsid w:val="008C3762"/>
    <w:rsid w:val="008C399E"/>
    <w:rsid w:val="008C4430"/>
    <w:rsid w:val="008C464D"/>
    <w:rsid w:val="008C4740"/>
    <w:rsid w:val="008C475C"/>
    <w:rsid w:val="008C541F"/>
    <w:rsid w:val="008C634D"/>
    <w:rsid w:val="008C65E0"/>
    <w:rsid w:val="008C6D0F"/>
    <w:rsid w:val="008C73F9"/>
    <w:rsid w:val="008C7D5A"/>
    <w:rsid w:val="008D08CA"/>
    <w:rsid w:val="008D0C88"/>
    <w:rsid w:val="008D0F16"/>
    <w:rsid w:val="008D133C"/>
    <w:rsid w:val="008D1A6F"/>
    <w:rsid w:val="008D1F47"/>
    <w:rsid w:val="008D213A"/>
    <w:rsid w:val="008D2E53"/>
    <w:rsid w:val="008D4B58"/>
    <w:rsid w:val="008D50ED"/>
    <w:rsid w:val="008D5D57"/>
    <w:rsid w:val="008D6265"/>
    <w:rsid w:val="008D6A84"/>
    <w:rsid w:val="008D6AB8"/>
    <w:rsid w:val="008D6F66"/>
    <w:rsid w:val="008D7372"/>
    <w:rsid w:val="008D7396"/>
    <w:rsid w:val="008D7DDD"/>
    <w:rsid w:val="008E0A21"/>
    <w:rsid w:val="008E1178"/>
    <w:rsid w:val="008E1F78"/>
    <w:rsid w:val="008E2538"/>
    <w:rsid w:val="008E2BA0"/>
    <w:rsid w:val="008E4332"/>
    <w:rsid w:val="008E4B1F"/>
    <w:rsid w:val="008E5215"/>
    <w:rsid w:val="008E52AB"/>
    <w:rsid w:val="008E5361"/>
    <w:rsid w:val="008E6128"/>
    <w:rsid w:val="008E6903"/>
    <w:rsid w:val="008E6A0E"/>
    <w:rsid w:val="008E6A11"/>
    <w:rsid w:val="008E6ECD"/>
    <w:rsid w:val="008E7AF8"/>
    <w:rsid w:val="008E7C69"/>
    <w:rsid w:val="008F024F"/>
    <w:rsid w:val="008F04F9"/>
    <w:rsid w:val="008F0976"/>
    <w:rsid w:val="008F0AEA"/>
    <w:rsid w:val="008F0D8E"/>
    <w:rsid w:val="008F0DF7"/>
    <w:rsid w:val="008F0EC8"/>
    <w:rsid w:val="008F0F16"/>
    <w:rsid w:val="008F1953"/>
    <w:rsid w:val="008F1F44"/>
    <w:rsid w:val="008F2985"/>
    <w:rsid w:val="008F31F0"/>
    <w:rsid w:val="008F3B3E"/>
    <w:rsid w:val="008F4258"/>
    <w:rsid w:val="008F46D4"/>
    <w:rsid w:val="008F4E52"/>
    <w:rsid w:val="008F5048"/>
    <w:rsid w:val="008F5820"/>
    <w:rsid w:val="008F6B8D"/>
    <w:rsid w:val="008F6D90"/>
    <w:rsid w:val="008F7528"/>
    <w:rsid w:val="008F757D"/>
    <w:rsid w:val="0090018A"/>
    <w:rsid w:val="00900580"/>
    <w:rsid w:val="00901446"/>
    <w:rsid w:val="00902309"/>
    <w:rsid w:val="00903357"/>
    <w:rsid w:val="00903858"/>
    <w:rsid w:val="00903FB8"/>
    <w:rsid w:val="0090411D"/>
    <w:rsid w:val="00904571"/>
    <w:rsid w:val="0090565C"/>
    <w:rsid w:val="009057A5"/>
    <w:rsid w:val="00905D89"/>
    <w:rsid w:val="00906E41"/>
    <w:rsid w:val="00907964"/>
    <w:rsid w:val="00910000"/>
    <w:rsid w:val="0091064D"/>
    <w:rsid w:val="00910DCA"/>
    <w:rsid w:val="00910EF1"/>
    <w:rsid w:val="00910F07"/>
    <w:rsid w:val="009110A0"/>
    <w:rsid w:val="00911438"/>
    <w:rsid w:val="00911A18"/>
    <w:rsid w:val="00911A42"/>
    <w:rsid w:val="00911DDF"/>
    <w:rsid w:val="0091211D"/>
    <w:rsid w:val="0091223D"/>
    <w:rsid w:val="009130FE"/>
    <w:rsid w:val="009134ED"/>
    <w:rsid w:val="00913C5E"/>
    <w:rsid w:val="0091425A"/>
    <w:rsid w:val="00914793"/>
    <w:rsid w:val="009150D2"/>
    <w:rsid w:val="00915220"/>
    <w:rsid w:val="00915C12"/>
    <w:rsid w:val="009161FB"/>
    <w:rsid w:val="00917C5C"/>
    <w:rsid w:val="009214D9"/>
    <w:rsid w:val="00921724"/>
    <w:rsid w:val="009223C8"/>
    <w:rsid w:val="00922A6D"/>
    <w:rsid w:val="00922E35"/>
    <w:rsid w:val="00922F74"/>
    <w:rsid w:val="00922FD9"/>
    <w:rsid w:val="009231A4"/>
    <w:rsid w:val="009231AF"/>
    <w:rsid w:val="0092327F"/>
    <w:rsid w:val="00923373"/>
    <w:rsid w:val="00923423"/>
    <w:rsid w:val="00923F8F"/>
    <w:rsid w:val="0092401C"/>
    <w:rsid w:val="009245B7"/>
    <w:rsid w:val="00924658"/>
    <w:rsid w:val="00924AB2"/>
    <w:rsid w:val="00924D9D"/>
    <w:rsid w:val="0092544C"/>
    <w:rsid w:val="00925583"/>
    <w:rsid w:val="00925929"/>
    <w:rsid w:val="0092692C"/>
    <w:rsid w:val="00926BEB"/>
    <w:rsid w:val="00927572"/>
    <w:rsid w:val="00927A2C"/>
    <w:rsid w:val="00927C4A"/>
    <w:rsid w:val="0093075A"/>
    <w:rsid w:val="00932AC6"/>
    <w:rsid w:val="009333C9"/>
    <w:rsid w:val="00933566"/>
    <w:rsid w:val="009337B8"/>
    <w:rsid w:val="00933C6D"/>
    <w:rsid w:val="00934B1D"/>
    <w:rsid w:val="00934D9B"/>
    <w:rsid w:val="00935460"/>
    <w:rsid w:val="00935981"/>
    <w:rsid w:val="00935E95"/>
    <w:rsid w:val="0093662F"/>
    <w:rsid w:val="00937607"/>
    <w:rsid w:val="00937CD8"/>
    <w:rsid w:val="009403B3"/>
    <w:rsid w:val="00940686"/>
    <w:rsid w:val="00941462"/>
    <w:rsid w:val="00941CEF"/>
    <w:rsid w:val="009422A7"/>
    <w:rsid w:val="00942327"/>
    <w:rsid w:val="009424FD"/>
    <w:rsid w:val="00942A91"/>
    <w:rsid w:val="00942C45"/>
    <w:rsid w:val="00943126"/>
    <w:rsid w:val="00943EBB"/>
    <w:rsid w:val="00944164"/>
    <w:rsid w:val="0094574D"/>
    <w:rsid w:val="00945AEA"/>
    <w:rsid w:val="00945F71"/>
    <w:rsid w:val="0094670D"/>
    <w:rsid w:val="009469B9"/>
    <w:rsid w:val="00946A09"/>
    <w:rsid w:val="009471A9"/>
    <w:rsid w:val="0094744B"/>
    <w:rsid w:val="009503F7"/>
    <w:rsid w:val="00950E16"/>
    <w:rsid w:val="00951AE6"/>
    <w:rsid w:val="00951BCD"/>
    <w:rsid w:val="00951E92"/>
    <w:rsid w:val="009520F9"/>
    <w:rsid w:val="0095232A"/>
    <w:rsid w:val="0095236A"/>
    <w:rsid w:val="009526F8"/>
    <w:rsid w:val="00953B64"/>
    <w:rsid w:val="00953C9C"/>
    <w:rsid w:val="00953DAF"/>
    <w:rsid w:val="009544DD"/>
    <w:rsid w:val="00954E64"/>
    <w:rsid w:val="00955368"/>
    <w:rsid w:val="0095563A"/>
    <w:rsid w:val="009565E5"/>
    <w:rsid w:val="009568BA"/>
    <w:rsid w:val="00956C07"/>
    <w:rsid w:val="00956CB8"/>
    <w:rsid w:val="00956CFD"/>
    <w:rsid w:val="00956F9A"/>
    <w:rsid w:val="00957CB3"/>
    <w:rsid w:val="00957ED0"/>
    <w:rsid w:val="00960012"/>
    <w:rsid w:val="00960021"/>
    <w:rsid w:val="00960527"/>
    <w:rsid w:val="009606DB"/>
    <w:rsid w:val="00960F74"/>
    <w:rsid w:val="009612A9"/>
    <w:rsid w:val="00961420"/>
    <w:rsid w:val="0096177C"/>
    <w:rsid w:val="009617FE"/>
    <w:rsid w:val="00961F44"/>
    <w:rsid w:val="009634D5"/>
    <w:rsid w:val="00963D5E"/>
    <w:rsid w:val="0096496B"/>
    <w:rsid w:val="00964D9F"/>
    <w:rsid w:val="0096582B"/>
    <w:rsid w:val="00965DDD"/>
    <w:rsid w:val="00966C70"/>
    <w:rsid w:val="00966E27"/>
    <w:rsid w:val="00967826"/>
    <w:rsid w:val="00967FF3"/>
    <w:rsid w:val="0097038A"/>
    <w:rsid w:val="009709A9"/>
    <w:rsid w:val="00970D8D"/>
    <w:rsid w:val="00970EF1"/>
    <w:rsid w:val="0097125A"/>
    <w:rsid w:val="00971603"/>
    <w:rsid w:val="00971FA8"/>
    <w:rsid w:val="00971FF1"/>
    <w:rsid w:val="0097225B"/>
    <w:rsid w:val="00972692"/>
    <w:rsid w:val="0097273C"/>
    <w:rsid w:val="00972AE2"/>
    <w:rsid w:val="00972B57"/>
    <w:rsid w:val="00972B94"/>
    <w:rsid w:val="00972E38"/>
    <w:rsid w:val="00972E76"/>
    <w:rsid w:val="009732A0"/>
    <w:rsid w:val="009733BE"/>
    <w:rsid w:val="00973495"/>
    <w:rsid w:val="00973658"/>
    <w:rsid w:val="00974C88"/>
    <w:rsid w:val="00974D7C"/>
    <w:rsid w:val="00974ED8"/>
    <w:rsid w:val="009750C6"/>
    <w:rsid w:val="00976015"/>
    <w:rsid w:val="00976116"/>
    <w:rsid w:val="009763A2"/>
    <w:rsid w:val="00980F70"/>
    <w:rsid w:val="009814B6"/>
    <w:rsid w:val="00981F1E"/>
    <w:rsid w:val="009827DB"/>
    <w:rsid w:val="00982E83"/>
    <w:rsid w:val="00983113"/>
    <w:rsid w:val="009831B4"/>
    <w:rsid w:val="0098383E"/>
    <w:rsid w:val="00983909"/>
    <w:rsid w:val="00985816"/>
    <w:rsid w:val="00985D4D"/>
    <w:rsid w:val="0098655C"/>
    <w:rsid w:val="00987ED3"/>
    <w:rsid w:val="0099017C"/>
    <w:rsid w:val="009904F7"/>
    <w:rsid w:val="00990590"/>
    <w:rsid w:val="00991D77"/>
    <w:rsid w:val="009922C9"/>
    <w:rsid w:val="00992405"/>
    <w:rsid w:val="009924A8"/>
    <w:rsid w:val="00992851"/>
    <w:rsid w:val="00993D8B"/>
    <w:rsid w:val="009941A6"/>
    <w:rsid w:val="00994548"/>
    <w:rsid w:val="009945EA"/>
    <w:rsid w:val="009946D6"/>
    <w:rsid w:val="00994FB4"/>
    <w:rsid w:val="009953B8"/>
    <w:rsid w:val="00995A42"/>
    <w:rsid w:val="00996726"/>
    <w:rsid w:val="00996C3A"/>
    <w:rsid w:val="00997650"/>
    <w:rsid w:val="009A0447"/>
    <w:rsid w:val="009A0BDC"/>
    <w:rsid w:val="009A10DB"/>
    <w:rsid w:val="009A1969"/>
    <w:rsid w:val="009A1BE2"/>
    <w:rsid w:val="009A1D53"/>
    <w:rsid w:val="009A23D8"/>
    <w:rsid w:val="009A24A1"/>
    <w:rsid w:val="009A2CB7"/>
    <w:rsid w:val="009A2E8A"/>
    <w:rsid w:val="009A376C"/>
    <w:rsid w:val="009A38A9"/>
    <w:rsid w:val="009A3CD2"/>
    <w:rsid w:val="009A583C"/>
    <w:rsid w:val="009A596A"/>
    <w:rsid w:val="009A6025"/>
    <w:rsid w:val="009A608C"/>
    <w:rsid w:val="009A63C9"/>
    <w:rsid w:val="009A7A9E"/>
    <w:rsid w:val="009A7E3E"/>
    <w:rsid w:val="009B08B0"/>
    <w:rsid w:val="009B0AE0"/>
    <w:rsid w:val="009B0D87"/>
    <w:rsid w:val="009B1028"/>
    <w:rsid w:val="009B1BDA"/>
    <w:rsid w:val="009B2286"/>
    <w:rsid w:val="009B2636"/>
    <w:rsid w:val="009B2AEF"/>
    <w:rsid w:val="009B2D5C"/>
    <w:rsid w:val="009B32EA"/>
    <w:rsid w:val="009B36B6"/>
    <w:rsid w:val="009B3A9B"/>
    <w:rsid w:val="009B3E64"/>
    <w:rsid w:val="009B4419"/>
    <w:rsid w:val="009B4AE9"/>
    <w:rsid w:val="009B51BA"/>
    <w:rsid w:val="009B5470"/>
    <w:rsid w:val="009B55D5"/>
    <w:rsid w:val="009B58BF"/>
    <w:rsid w:val="009B5E63"/>
    <w:rsid w:val="009B5F75"/>
    <w:rsid w:val="009B632E"/>
    <w:rsid w:val="009B6395"/>
    <w:rsid w:val="009B63B2"/>
    <w:rsid w:val="009B6B0F"/>
    <w:rsid w:val="009B7500"/>
    <w:rsid w:val="009B7862"/>
    <w:rsid w:val="009B78CA"/>
    <w:rsid w:val="009C0899"/>
    <w:rsid w:val="009C1BFC"/>
    <w:rsid w:val="009C1E94"/>
    <w:rsid w:val="009C2921"/>
    <w:rsid w:val="009C2B21"/>
    <w:rsid w:val="009C2BD9"/>
    <w:rsid w:val="009C2EDE"/>
    <w:rsid w:val="009C359C"/>
    <w:rsid w:val="009C35A6"/>
    <w:rsid w:val="009C4903"/>
    <w:rsid w:val="009C5851"/>
    <w:rsid w:val="009C5C0F"/>
    <w:rsid w:val="009C63B7"/>
    <w:rsid w:val="009C67D0"/>
    <w:rsid w:val="009C6EFA"/>
    <w:rsid w:val="009D028A"/>
    <w:rsid w:val="009D039B"/>
    <w:rsid w:val="009D0494"/>
    <w:rsid w:val="009D14A0"/>
    <w:rsid w:val="009D16B7"/>
    <w:rsid w:val="009D1E4D"/>
    <w:rsid w:val="009D1F23"/>
    <w:rsid w:val="009D2BC5"/>
    <w:rsid w:val="009D310E"/>
    <w:rsid w:val="009D3541"/>
    <w:rsid w:val="009D4315"/>
    <w:rsid w:val="009D4A3F"/>
    <w:rsid w:val="009D5C21"/>
    <w:rsid w:val="009D6966"/>
    <w:rsid w:val="009D75CD"/>
    <w:rsid w:val="009D7791"/>
    <w:rsid w:val="009E06A6"/>
    <w:rsid w:val="009E0A37"/>
    <w:rsid w:val="009E0C4D"/>
    <w:rsid w:val="009E0E06"/>
    <w:rsid w:val="009E12A7"/>
    <w:rsid w:val="009E12AF"/>
    <w:rsid w:val="009E140E"/>
    <w:rsid w:val="009E142D"/>
    <w:rsid w:val="009E1797"/>
    <w:rsid w:val="009E2152"/>
    <w:rsid w:val="009E245D"/>
    <w:rsid w:val="009E250B"/>
    <w:rsid w:val="009E2528"/>
    <w:rsid w:val="009E2933"/>
    <w:rsid w:val="009E2A82"/>
    <w:rsid w:val="009E2FF9"/>
    <w:rsid w:val="009E3CAD"/>
    <w:rsid w:val="009E432B"/>
    <w:rsid w:val="009E4374"/>
    <w:rsid w:val="009E460C"/>
    <w:rsid w:val="009E46FB"/>
    <w:rsid w:val="009E486B"/>
    <w:rsid w:val="009E4C19"/>
    <w:rsid w:val="009E5531"/>
    <w:rsid w:val="009E55D6"/>
    <w:rsid w:val="009E5634"/>
    <w:rsid w:val="009E6EF5"/>
    <w:rsid w:val="009E6FC0"/>
    <w:rsid w:val="009E7F8C"/>
    <w:rsid w:val="009F019B"/>
    <w:rsid w:val="009F0374"/>
    <w:rsid w:val="009F065B"/>
    <w:rsid w:val="009F078A"/>
    <w:rsid w:val="009F0A78"/>
    <w:rsid w:val="009F0C30"/>
    <w:rsid w:val="009F0EBC"/>
    <w:rsid w:val="009F2534"/>
    <w:rsid w:val="009F287E"/>
    <w:rsid w:val="009F2CDC"/>
    <w:rsid w:val="009F40B8"/>
    <w:rsid w:val="009F4369"/>
    <w:rsid w:val="009F4C11"/>
    <w:rsid w:val="009F4DDA"/>
    <w:rsid w:val="009F4EF9"/>
    <w:rsid w:val="009F50DB"/>
    <w:rsid w:val="009F656A"/>
    <w:rsid w:val="009F6615"/>
    <w:rsid w:val="009F6937"/>
    <w:rsid w:val="009F6E9B"/>
    <w:rsid w:val="009F7212"/>
    <w:rsid w:val="009F797C"/>
    <w:rsid w:val="009F7CDD"/>
    <w:rsid w:val="00A004D1"/>
    <w:rsid w:val="00A005C5"/>
    <w:rsid w:val="00A00DEB"/>
    <w:rsid w:val="00A0159E"/>
    <w:rsid w:val="00A019D7"/>
    <w:rsid w:val="00A01B09"/>
    <w:rsid w:val="00A01D93"/>
    <w:rsid w:val="00A01DD1"/>
    <w:rsid w:val="00A02071"/>
    <w:rsid w:val="00A026C9"/>
    <w:rsid w:val="00A026F6"/>
    <w:rsid w:val="00A03B0B"/>
    <w:rsid w:val="00A03C0D"/>
    <w:rsid w:val="00A04607"/>
    <w:rsid w:val="00A06357"/>
    <w:rsid w:val="00A06383"/>
    <w:rsid w:val="00A06493"/>
    <w:rsid w:val="00A06A0F"/>
    <w:rsid w:val="00A06B29"/>
    <w:rsid w:val="00A075A2"/>
    <w:rsid w:val="00A07C20"/>
    <w:rsid w:val="00A10794"/>
    <w:rsid w:val="00A10BC5"/>
    <w:rsid w:val="00A1107E"/>
    <w:rsid w:val="00A1147C"/>
    <w:rsid w:val="00A11A53"/>
    <w:rsid w:val="00A121F2"/>
    <w:rsid w:val="00A12785"/>
    <w:rsid w:val="00A12B1D"/>
    <w:rsid w:val="00A13733"/>
    <w:rsid w:val="00A13C8F"/>
    <w:rsid w:val="00A13DEF"/>
    <w:rsid w:val="00A14D54"/>
    <w:rsid w:val="00A15271"/>
    <w:rsid w:val="00A15470"/>
    <w:rsid w:val="00A1597A"/>
    <w:rsid w:val="00A15A54"/>
    <w:rsid w:val="00A15DA2"/>
    <w:rsid w:val="00A16029"/>
    <w:rsid w:val="00A16ADD"/>
    <w:rsid w:val="00A16DA4"/>
    <w:rsid w:val="00A16DFA"/>
    <w:rsid w:val="00A173BB"/>
    <w:rsid w:val="00A1745E"/>
    <w:rsid w:val="00A17D1D"/>
    <w:rsid w:val="00A17F4F"/>
    <w:rsid w:val="00A20969"/>
    <w:rsid w:val="00A20B25"/>
    <w:rsid w:val="00A21363"/>
    <w:rsid w:val="00A21485"/>
    <w:rsid w:val="00A22072"/>
    <w:rsid w:val="00A222BE"/>
    <w:rsid w:val="00A22A6C"/>
    <w:rsid w:val="00A22AEE"/>
    <w:rsid w:val="00A22BFD"/>
    <w:rsid w:val="00A23066"/>
    <w:rsid w:val="00A23139"/>
    <w:rsid w:val="00A23702"/>
    <w:rsid w:val="00A23796"/>
    <w:rsid w:val="00A24BB0"/>
    <w:rsid w:val="00A24BC8"/>
    <w:rsid w:val="00A254D1"/>
    <w:rsid w:val="00A257A6"/>
    <w:rsid w:val="00A25C4A"/>
    <w:rsid w:val="00A25CB6"/>
    <w:rsid w:val="00A26232"/>
    <w:rsid w:val="00A267D4"/>
    <w:rsid w:val="00A26876"/>
    <w:rsid w:val="00A26940"/>
    <w:rsid w:val="00A27F7A"/>
    <w:rsid w:val="00A30744"/>
    <w:rsid w:val="00A30B8A"/>
    <w:rsid w:val="00A30DA8"/>
    <w:rsid w:val="00A31300"/>
    <w:rsid w:val="00A3253E"/>
    <w:rsid w:val="00A331C4"/>
    <w:rsid w:val="00A33A15"/>
    <w:rsid w:val="00A33C46"/>
    <w:rsid w:val="00A347B3"/>
    <w:rsid w:val="00A34E39"/>
    <w:rsid w:val="00A35195"/>
    <w:rsid w:val="00A35E1B"/>
    <w:rsid w:val="00A36E9B"/>
    <w:rsid w:val="00A3708F"/>
    <w:rsid w:val="00A37166"/>
    <w:rsid w:val="00A40534"/>
    <w:rsid w:val="00A408AF"/>
    <w:rsid w:val="00A41192"/>
    <w:rsid w:val="00A415AE"/>
    <w:rsid w:val="00A41D97"/>
    <w:rsid w:val="00A42173"/>
    <w:rsid w:val="00A42915"/>
    <w:rsid w:val="00A44859"/>
    <w:rsid w:val="00A4516D"/>
    <w:rsid w:val="00A451D5"/>
    <w:rsid w:val="00A45277"/>
    <w:rsid w:val="00A45358"/>
    <w:rsid w:val="00A457EF"/>
    <w:rsid w:val="00A46160"/>
    <w:rsid w:val="00A463F6"/>
    <w:rsid w:val="00A464EB"/>
    <w:rsid w:val="00A465F6"/>
    <w:rsid w:val="00A46FC3"/>
    <w:rsid w:val="00A47112"/>
    <w:rsid w:val="00A479A6"/>
    <w:rsid w:val="00A500B9"/>
    <w:rsid w:val="00A504D6"/>
    <w:rsid w:val="00A50829"/>
    <w:rsid w:val="00A523C6"/>
    <w:rsid w:val="00A523F6"/>
    <w:rsid w:val="00A532C0"/>
    <w:rsid w:val="00A533B9"/>
    <w:rsid w:val="00A53982"/>
    <w:rsid w:val="00A5406E"/>
    <w:rsid w:val="00A5464C"/>
    <w:rsid w:val="00A54F16"/>
    <w:rsid w:val="00A560A5"/>
    <w:rsid w:val="00A57D1B"/>
    <w:rsid w:val="00A57E73"/>
    <w:rsid w:val="00A60A9D"/>
    <w:rsid w:val="00A60E91"/>
    <w:rsid w:val="00A60F42"/>
    <w:rsid w:val="00A61DB9"/>
    <w:rsid w:val="00A61E36"/>
    <w:rsid w:val="00A61E94"/>
    <w:rsid w:val="00A61F64"/>
    <w:rsid w:val="00A6238C"/>
    <w:rsid w:val="00A63C3D"/>
    <w:rsid w:val="00A64409"/>
    <w:rsid w:val="00A64838"/>
    <w:rsid w:val="00A64876"/>
    <w:rsid w:val="00A64A7D"/>
    <w:rsid w:val="00A64F1E"/>
    <w:rsid w:val="00A65253"/>
    <w:rsid w:val="00A65377"/>
    <w:rsid w:val="00A653F3"/>
    <w:rsid w:val="00A65FAD"/>
    <w:rsid w:val="00A65FC3"/>
    <w:rsid w:val="00A6608D"/>
    <w:rsid w:val="00A66190"/>
    <w:rsid w:val="00A67D73"/>
    <w:rsid w:val="00A70F82"/>
    <w:rsid w:val="00A713EF"/>
    <w:rsid w:val="00A714E8"/>
    <w:rsid w:val="00A7175C"/>
    <w:rsid w:val="00A71A43"/>
    <w:rsid w:val="00A722BD"/>
    <w:rsid w:val="00A72481"/>
    <w:rsid w:val="00A727D4"/>
    <w:rsid w:val="00A72BEE"/>
    <w:rsid w:val="00A7350F"/>
    <w:rsid w:val="00A73E8B"/>
    <w:rsid w:val="00A7425C"/>
    <w:rsid w:val="00A74A54"/>
    <w:rsid w:val="00A75423"/>
    <w:rsid w:val="00A75FF8"/>
    <w:rsid w:val="00A7615F"/>
    <w:rsid w:val="00A7667A"/>
    <w:rsid w:val="00A76C9C"/>
    <w:rsid w:val="00A779FA"/>
    <w:rsid w:val="00A77C67"/>
    <w:rsid w:val="00A803BC"/>
    <w:rsid w:val="00A80D77"/>
    <w:rsid w:val="00A80F93"/>
    <w:rsid w:val="00A81449"/>
    <w:rsid w:val="00A8219A"/>
    <w:rsid w:val="00A8225C"/>
    <w:rsid w:val="00A822B6"/>
    <w:rsid w:val="00A82322"/>
    <w:rsid w:val="00A826C4"/>
    <w:rsid w:val="00A826D9"/>
    <w:rsid w:val="00A82FFE"/>
    <w:rsid w:val="00A832C9"/>
    <w:rsid w:val="00A8349E"/>
    <w:rsid w:val="00A83624"/>
    <w:rsid w:val="00A83666"/>
    <w:rsid w:val="00A83F1E"/>
    <w:rsid w:val="00A846C0"/>
    <w:rsid w:val="00A84ABB"/>
    <w:rsid w:val="00A84FAC"/>
    <w:rsid w:val="00A852BA"/>
    <w:rsid w:val="00A853AF"/>
    <w:rsid w:val="00A85772"/>
    <w:rsid w:val="00A859C0"/>
    <w:rsid w:val="00A866D3"/>
    <w:rsid w:val="00A86C21"/>
    <w:rsid w:val="00A86EB8"/>
    <w:rsid w:val="00A9086F"/>
    <w:rsid w:val="00A9099F"/>
    <w:rsid w:val="00A90A59"/>
    <w:rsid w:val="00A918B8"/>
    <w:rsid w:val="00A91B4B"/>
    <w:rsid w:val="00A922A5"/>
    <w:rsid w:val="00A92C3E"/>
    <w:rsid w:val="00A93B3C"/>
    <w:rsid w:val="00A93B41"/>
    <w:rsid w:val="00A94255"/>
    <w:rsid w:val="00A94621"/>
    <w:rsid w:val="00A948B6"/>
    <w:rsid w:val="00A94AD0"/>
    <w:rsid w:val="00A95851"/>
    <w:rsid w:val="00A95DC0"/>
    <w:rsid w:val="00A9731B"/>
    <w:rsid w:val="00A97471"/>
    <w:rsid w:val="00A97573"/>
    <w:rsid w:val="00A97A9E"/>
    <w:rsid w:val="00AA0473"/>
    <w:rsid w:val="00AA08DD"/>
    <w:rsid w:val="00AA10E6"/>
    <w:rsid w:val="00AA12A6"/>
    <w:rsid w:val="00AA1AF1"/>
    <w:rsid w:val="00AA2969"/>
    <w:rsid w:val="00AA2BAB"/>
    <w:rsid w:val="00AA34AC"/>
    <w:rsid w:val="00AA3CBB"/>
    <w:rsid w:val="00AA4045"/>
    <w:rsid w:val="00AA45A1"/>
    <w:rsid w:val="00AA46E3"/>
    <w:rsid w:val="00AA53BD"/>
    <w:rsid w:val="00AA58D2"/>
    <w:rsid w:val="00AA6D0E"/>
    <w:rsid w:val="00AA6D57"/>
    <w:rsid w:val="00AB02D1"/>
    <w:rsid w:val="00AB0FD0"/>
    <w:rsid w:val="00AB1643"/>
    <w:rsid w:val="00AB1B67"/>
    <w:rsid w:val="00AB2032"/>
    <w:rsid w:val="00AB3A8E"/>
    <w:rsid w:val="00AB450D"/>
    <w:rsid w:val="00AB5129"/>
    <w:rsid w:val="00AB5442"/>
    <w:rsid w:val="00AB570A"/>
    <w:rsid w:val="00AB5E14"/>
    <w:rsid w:val="00AB6801"/>
    <w:rsid w:val="00AB6A08"/>
    <w:rsid w:val="00AB7CCA"/>
    <w:rsid w:val="00AB7DA1"/>
    <w:rsid w:val="00AC062B"/>
    <w:rsid w:val="00AC0B48"/>
    <w:rsid w:val="00AC0D82"/>
    <w:rsid w:val="00AC19D5"/>
    <w:rsid w:val="00AC207B"/>
    <w:rsid w:val="00AC23B5"/>
    <w:rsid w:val="00AC2A6A"/>
    <w:rsid w:val="00AC3629"/>
    <w:rsid w:val="00AC380F"/>
    <w:rsid w:val="00AC4B44"/>
    <w:rsid w:val="00AC4D7D"/>
    <w:rsid w:val="00AC4FDF"/>
    <w:rsid w:val="00AC6102"/>
    <w:rsid w:val="00AC6329"/>
    <w:rsid w:val="00AC6F10"/>
    <w:rsid w:val="00AC7189"/>
    <w:rsid w:val="00AC71E7"/>
    <w:rsid w:val="00AD04EC"/>
    <w:rsid w:val="00AD0DB2"/>
    <w:rsid w:val="00AD1310"/>
    <w:rsid w:val="00AD1DE6"/>
    <w:rsid w:val="00AD211F"/>
    <w:rsid w:val="00AD29F5"/>
    <w:rsid w:val="00AD3611"/>
    <w:rsid w:val="00AD3674"/>
    <w:rsid w:val="00AD41B9"/>
    <w:rsid w:val="00AD4662"/>
    <w:rsid w:val="00AD46C1"/>
    <w:rsid w:val="00AD4C0D"/>
    <w:rsid w:val="00AD5878"/>
    <w:rsid w:val="00AD5CF1"/>
    <w:rsid w:val="00AD66F8"/>
    <w:rsid w:val="00AD6740"/>
    <w:rsid w:val="00AD736B"/>
    <w:rsid w:val="00AD73EC"/>
    <w:rsid w:val="00AE00A0"/>
    <w:rsid w:val="00AE0473"/>
    <w:rsid w:val="00AE0911"/>
    <w:rsid w:val="00AE0C71"/>
    <w:rsid w:val="00AE2762"/>
    <w:rsid w:val="00AE2FC5"/>
    <w:rsid w:val="00AE3AA1"/>
    <w:rsid w:val="00AE3DFB"/>
    <w:rsid w:val="00AE46D3"/>
    <w:rsid w:val="00AE476F"/>
    <w:rsid w:val="00AE5303"/>
    <w:rsid w:val="00AE5C4A"/>
    <w:rsid w:val="00AE5E1F"/>
    <w:rsid w:val="00AE5EE4"/>
    <w:rsid w:val="00AE5F02"/>
    <w:rsid w:val="00AE6501"/>
    <w:rsid w:val="00AE65E6"/>
    <w:rsid w:val="00AE71C1"/>
    <w:rsid w:val="00AF0403"/>
    <w:rsid w:val="00AF07F9"/>
    <w:rsid w:val="00AF0CE4"/>
    <w:rsid w:val="00AF0E1F"/>
    <w:rsid w:val="00AF211C"/>
    <w:rsid w:val="00AF299C"/>
    <w:rsid w:val="00AF29D4"/>
    <w:rsid w:val="00AF2A3D"/>
    <w:rsid w:val="00AF2B0E"/>
    <w:rsid w:val="00AF3115"/>
    <w:rsid w:val="00AF3210"/>
    <w:rsid w:val="00AF333A"/>
    <w:rsid w:val="00AF41D0"/>
    <w:rsid w:val="00AF42AB"/>
    <w:rsid w:val="00AF52E9"/>
    <w:rsid w:val="00AF547B"/>
    <w:rsid w:val="00AF5B1D"/>
    <w:rsid w:val="00AF5B3C"/>
    <w:rsid w:val="00AF6261"/>
    <w:rsid w:val="00AF644D"/>
    <w:rsid w:val="00AF6929"/>
    <w:rsid w:val="00AF7015"/>
    <w:rsid w:val="00AF70EE"/>
    <w:rsid w:val="00AF7228"/>
    <w:rsid w:val="00B0025E"/>
    <w:rsid w:val="00B005D6"/>
    <w:rsid w:val="00B017D7"/>
    <w:rsid w:val="00B01B74"/>
    <w:rsid w:val="00B02531"/>
    <w:rsid w:val="00B025CD"/>
    <w:rsid w:val="00B028D4"/>
    <w:rsid w:val="00B02BD6"/>
    <w:rsid w:val="00B03357"/>
    <w:rsid w:val="00B03550"/>
    <w:rsid w:val="00B03A9E"/>
    <w:rsid w:val="00B03D76"/>
    <w:rsid w:val="00B0458F"/>
    <w:rsid w:val="00B05587"/>
    <w:rsid w:val="00B06360"/>
    <w:rsid w:val="00B06EDB"/>
    <w:rsid w:val="00B0775F"/>
    <w:rsid w:val="00B07BEE"/>
    <w:rsid w:val="00B1048A"/>
    <w:rsid w:val="00B10B31"/>
    <w:rsid w:val="00B10D55"/>
    <w:rsid w:val="00B111D3"/>
    <w:rsid w:val="00B11270"/>
    <w:rsid w:val="00B12C26"/>
    <w:rsid w:val="00B13DBC"/>
    <w:rsid w:val="00B145DA"/>
    <w:rsid w:val="00B146BA"/>
    <w:rsid w:val="00B14B9F"/>
    <w:rsid w:val="00B14C37"/>
    <w:rsid w:val="00B15DED"/>
    <w:rsid w:val="00B17586"/>
    <w:rsid w:val="00B1784E"/>
    <w:rsid w:val="00B20AB2"/>
    <w:rsid w:val="00B22E7E"/>
    <w:rsid w:val="00B2327C"/>
    <w:rsid w:val="00B23C3A"/>
    <w:rsid w:val="00B24354"/>
    <w:rsid w:val="00B258B7"/>
    <w:rsid w:val="00B25A26"/>
    <w:rsid w:val="00B2725B"/>
    <w:rsid w:val="00B27841"/>
    <w:rsid w:val="00B2784A"/>
    <w:rsid w:val="00B30DBA"/>
    <w:rsid w:val="00B31306"/>
    <w:rsid w:val="00B31A9A"/>
    <w:rsid w:val="00B31C0F"/>
    <w:rsid w:val="00B31D20"/>
    <w:rsid w:val="00B32088"/>
    <w:rsid w:val="00B32370"/>
    <w:rsid w:val="00B32EC8"/>
    <w:rsid w:val="00B32EDC"/>
    <w:rsid w:val="00B32F9A"/>
    <w:rsid w:val="00B33235"/>
    <w:rsid w:val="00B337DB"/>
    <w:rsid w:val="00B33ABB"/>
    <w:rsid w:val="00B3475F"/>
    <w:rsid w:val="00B3595D"/>
    <w:rsid w:val="00B35FF4"/>
    <w:rsid w:val="00B36A8F"/>
    <w:rsid w:val="00B36D63"/>
    <w:rsid w:val="00B3757C"/>
    <w:rsid w:val="00B37C9E"/>
    <w:rsid w:val="00B37DBB"/>
    <w:rsid w:val="00B37FBA"/>
    <w:rsid w:val="00B40EB5"/>
    <w:rsid w:val="00B418F6"/>
    <w:rsid w:val="00B419F9"/>
    <w:rsid w:val="00B4296F"/>
    <w:rsid w:val="00B42AE1"/>
    <w:rsid w:val="00B42C0C"/>
    <w:rsid w:val="00B42F37"/>
    <w:rsid w:val="00B43681"/>
    <w:rsid w:val="00B43690"/>
    <w:rsid w:val="00B441AD"/>
    <w:rsid w:val="00B443CE"/>
    <w:rsid w:val="00B4577C"/>
    <w:rsid w:val="00B45953"/>
    <w:rsid w:val="00B4626F"/>
    <w:rsid w:val="00B462D7"/>
    <w:rsid w:val="00B46360"/>
    <w:rsid w:val="00B46802"/>
    <w:rsid w:val="00B46CBC"/>
    <w:rsid w:val="00B47DF9"/>
    <w:rsid w:val="00B5040A"/>
    <w:rsid w:val="00B50C80"/>
    <w:rsid w:val="00B50CB1"/>
    <w:rsid w:val="00B50FA0"/>
    <w:rsid w:val="00B51386"/>
    <w:rsid w:val="00B51556"/>
    <w:rsid w:val="00B5177B"/>
    <w:rsid w:val="00B51832"/>
    <w:rsid w:val="00B51A87"/>
    <w:rsid w:val="00B51B6B"/>
    <w:rsid w:val="00B52377"/>
    <w:rsid w:val="00B52518"/>
    <w:rsid w:val="00B527D9"/>
    <w:rsid w:val="00B52A31"/>
    <w:rsid w:val="00B52AFA"/>
    <w:rsid w:val="00B53176"/>
    <w:rsid w:val="00B5319F"/>
    <w:rsid w:val="00B53569"/>
    <w:rsid w:val="00B5532F"/>
    <w:rsid w:val="00B5572D"/>
    <w:rsid w:val="00B55ADB"/>
    <w:rsid w:val="00B568F1"/>
    <w:rsid w:val="00B56C12"/>
    <w:rsid w:val="00B56EA2"/>
    <w:rsid w:val="00B574C5"/>
    <w:rsid w:val="00B578BC"/>
    <w:rsid w:val="00B579F4"/>
    <w:rsid w:val="00B57C89"/>
    <w:rsid w:val="00B57DCD"/>
    <w:rsid w:val="00B6093F"/>
    <w:rsid w:val="00B60AB8"/>
    <w:rsid w:val="00B61384"/>
    <w:rsid w:val="00B61BB4"/>
    <w:rsid w:val="00B61F47"/>
    <w:rsid w:val="00B624EF"/>
    <w:rsid w:val="00B62D37"/>
    <w:rsid w:val="00B63D1A"/>
    <w:rsid w:val="00B646FB"/>
    <w:rsid w:val="00B64D34"/>
    <w:rsid w:val="00B64D44"/>
    <w:rsid w:val="00B64FA1"/>
    <w:rsid w:val="00B65E78"/>
    <w:rsid w:val="00B65F5D"/>
    <w:rsid w:val="00B66414"/>
    <w:rsid w:val="00B66FB7"/>
    <w:rsid w:val="00B674DB"/>
    <w:rsid w:val="00B70817"/>
    <w:rsid w:val="00B70EA8"/>
    <w:rsid w:val="00B72A5E"/>
    <w:rsid w:val="00B7373A"/>
    <w:rsid w:val="00B73C89"/>
    <w:rsid w:val="00B7411C"/>
    <w:rsid w:val="00B74F69"/>
    <w:rsid w:val="00B75CE0"/>
    <w:rsid w:val="00B75E94"/>
    <w:rsid w:val="00B7669C"/>
    <w:rsid w:val="00B77243"/>
    <w:rsid w:val="00B7725B"/>
    <w:rsid w:val="00B772E7"/>
    <w:rsid w:val="00B779E9"/>
    <w:rsid w:val="00B77BAF"/>
    <w:rsid w:val="00B8031C"/>
    <w:rsid w:val="00B80AFA"/>
    <w:rsid w:val="00B80BE6"/>
    <w:rsid w:val="00B80F66"/>
    <w:rsid w:val="00B824D1"/>
    <w:rsid w:val="00B82875"/>
    <w:rsid w:val="00B8391F"/>
    <w:rsid w:val="00B844F6"/>
    <w:rsid w:val="00B84C28"/>
    <w:rsid w:val="00B8509E"/>
    <w:rsid w:val="00B8513E"/>
    <w:rsid w:val="00B853F1"/>
    <w:rsid w:val="00B86A33"/>
    <w:rsid w:val="00B86BC3"/>
    <w:rsid w:val="00B86DA7"/>
    <w:rsid w:val="00B87D5F"/>
    <w:rsid w:val="00B87DB8"/>
    <w:rsid w:val="00B90462"/>
    <w:rsid w:val="00B9177C"/>
    <w:rsid w:val="00B928B3"/>
    <w:rsid w:val="00B9390E"/>
    <w:rsid w:val="00B93F9B"/>
    <w:rsid w:val="00B94521"/>
    <w:rsid w:val="00B9481F"/>
    <w:rsid w:val="00B94E13"/>
    <w:rsid w:val="00B95252"/>
    <w:rsid w:val="00B958E9"/>
    <w:rsid w:val="00B95AF9"/>
    <w:rsid w:val="00B960B1"/>
    <w:rsid w:val="00B964F1"/>
    <w:rsid w:val="00B967B5"/>
    <w:rsid w:val="00B96BF4"/>
    <w:rsid w:val="00B973BF"/>
    <w:rsid w:val="00B979A3"/>
    <w:rsid w:val="00B97F3B"/>
    <w:rsid w:val="00BA076D"/>
    <w:rsid w:val="00BA0DEC"/>
    <w:rsid w:val="00BA11CF"/>
    <w:rsid w:val="00BA1559"/>
    <w:rsid w:val="00BA1B85"/>
    <w:rsid w:val="00BA1C70"/>
    <w:rsid w:val="00BA1FFE"/>
    <w:rsid w:val="00BA2869"/>
    <w:rsid w:val="00BA2F39"/>
    <w:rsid w:val="00BA3238"/>
    <w:rsid w:val="00BA32B9"/>
    <w:rsid w:val="00BA43B5"/>
    <w:rsid w:val="00BA4A4F"/>
    <w:rsid w:val="00BA4D94"/>
    <w:rsid w:val="00BA5216"/>
    <w:rsid w:val="00BA56A1"/>
    <w:rsid w:val="00BA6FFE"/>
    <w:rsid w:val="00BA70F0"/>
    <w:rsid w:val="00BA7AB9"/>
    <w:rsid w:val="00BB018E"/>
    <w:rsid w:val="00BB031B"/>
    <w:rsid w:val="00BB2BE7"/>
    <w:rsid w:val="00BB2D6E"/>
    <w:rsid w:val="00BB3163"/>
    <w:rsid w:val="00BB3287"/>
    <w:rsid w:val="00BB4021"/>
    <w:rsid w:val="00BB4273"/>
    <w:rsid w:val="00BB450B"/>
    <w:rsid w:val="00BB5005"/>
    <w:rsid w:val="00BB5C4E"/>
    <w:rsid w:val="00BB60AA"/>
    <w:rsid w:val="00BB68D8"/>
    <w:rsid w:val="00BB6A6A"/>
    <w:rsid w:val="00BB7B0B"/>
    <w:rsid w:val="00BB7E40"/>
    <w:rsid w:val="00BC0514"/>
    <w:rsid w:val="00BC0720"/>
    <w:rsid w:val="00BC0AAF"/>
    <w:rsid w:val="00BC1D7B"/>
    <w:rsid w:val="00BC294C"/>
    <w:rsid w:val="00BC2A4D"/>
    <w:rsid w:val="00BC2E88"/>
    <w:rsid w:val="00BC3269"/>
    <w:rsid w:val="00BC34DB"/>
    <w:rsid w:val="00BC3E91"/>
    <w:rsid w:val="00BC48AD"/>
    <w:rsid w:val="00BC55C9"/>
    <w:rsid w:val="00BC5FEB"/>
    <w:rsid w:val="00BC750C"/>
    <w:rsid w:val="00BC7AAA"/>
    <w:rsid w:val="00BC7B02"/>
    <w:rsid w:val="00BC7E66"/>
    <w:rsid w:val="00BD02EB"/>
    <w:rsid w:val="00BD040C"/>
    <w:rsid w:val="00BD122C"/>
    <w:rsid w:val="00BD1CEC"/>
    <w:rsid w:val="00BD2190"/>
    <w:rsid w:val="00BD2263"/>
    <w:rsid w:val="00BD2B29"/>
    <w:rsid w:val="00BD36BE"/>
    <w:rsid w:val="00BD3CFB"/>
    <w:rsid w:val="00BD3D71"/>
    <w:rsid w:val="00BD4945"/>
    <w:rsid w:val="00BD4B9C"/>
    <w:rsid w:val="00BD4D92"/>
    <w:rsid w:val="00BD5308"/>
    <w:rsid w:val="00BD5535"/>
    <w:rsid w:val="00BD5A07"/>
    <w:rsid w:val="00BD669B"/>
    <w:rsid w:val="00BD66FB"/>
    <w:rsid w:val="00BD6E9D"/>
    <w:rsid w:val="00BD6F88"/>
    <w:rsid w:val="00BD715B"/>
    <w:rsid w:val="00BD7666"/>
    <w:rsid w:val="00BD7693"/>
    <w:rsid w:val="00BD7C22"/>
    <w:rsid w:val="00BD7F67"/>
    <w:rsid w:val="00BE01B5"/>
    <w:rsid w:val="00BE07A4"/>
    <w:rsid w:val="00BE3137"/>
    <w:rsid w:val="00BE387B"/>
    <w:rsid w:val="00BE42FF"/>
    <w:rsid w:val="00BE4379"/>
    <w:rsid w:val="00BE484E"/>
    <w:rsid w:val="00BE4CAE"/>
    <w:rsid w:val="00BE56D6"/>
    <w:rsid w:val="00BE60F5"/>
    <w:rsid w:val="00BE62FB"/>
    <w:rsid w:val="00BE6B9A"/>
    <w:rsid w:val="00BE6C23"/>
    <w:rsid w:val="00BE7714"/>
    <w:rsid w:val="00BE7B27"/>
    <w:rsid w:val="00BE7E1E"/>
    <w:rsid w:val="00BF0FC2"/>
    <w:rsid w:val="00BF1B4B"/>
    <w:rsid w:val="00BF35DF"/>
    <w:rsid w:val="00BF3A48"/>
    <w:rsid w:val="00BF3B8E"/>
    <w:rsid w:val="00BF4352"/>
    <w:rsid w:val="00BF589F"/>
    <w:rsid w:val="00BF6449"/>
    <w:rsid w:val="00BF6E40"/>
    <w:rsid w:val="00BF7090"/>
    <w:rsid w:val="00C00AEC"/>
    <w:rsid w:val="00C00C4D"/>
    <w:rsid w:val="00C01527"/>
    <w:rsid w:val="00C017B9"/>
    <w:rsid w:val="00C01C80"/>
    <w:rsid w:val="00C01DAA"/>
    <w:rsid w:val="00C02043"/>
    <w:rsid w:val="00C021D2"/>
    <w:rsid w:val="00C022A0"/>
    <w:rsid w:val="00C023AA"/>
    <w:rsid w:val="00C02A39"/>
    <w:rsid w:val="00C03AF3"/>
    <w:rsid w:val="00C03F5F"/>
    <w:rsid w:val="00C04628"/>
    <w:rsid w:val="00C050D4"/>
    <w:rsid w:val="00C05254"/>
    <w:rsid w:val="00C056BD"/>
    <w:rsid w:val="00C05A47"/>
    <w:rsid w:val="00C05FDA"/>
    <w:rsid w:val="00C06CFF"/>
    <w:rsid w:val="00C075A9"/>
    <w:rsid w:val="00C0787F"/>
    <w:rsid w:val="00C103ED"/>
    <w:rsid w:val="00C105F1"/>
    <w:rsid w:val="00C12376"/>
    <w:rsid w:val="00C1250F"/>
    <w:rsid w:val="00C12F70"/>
    <w:rsid w:val="00C13145"/>
    <w:rsid w:val="00C136E9"/>
    <w:rsid w:val="00C13AF7"/>
    <w:rsid w:val="00C13CA6"/>
    <w:rsid w:val="00C13E79"/>
    <w:rsid w:val="00C1438B"/>
    <w:rsid w:val="00C14443"/>
    <w:rsid w:val="00C14C74"/>
    <w:rsid w:val="00C1526D"/>
    <w:rsid w:val="00C15AD8"/>
    <w:rsid w:val="00C165B9"/>
    <w:rsid w:val="00C1669F"/>
    <w:rsid w:val="00C16C92"/>
    <w:rsid w:val="00C17C3B"/>
    <w:rsid w:val="00C2054B"/>
    <w:rsid w:val="00C20C50"/>
    <w:rsid w:val="00C21149"/>
    <w:rsid w:val="00C21406"/>
    <w:rsid w:val="00C2169C"/>
    <w:rsid w:val="00C218FC"/>
    <w:rsid w:val="00C21965"/>
    <w:rsid w:val="00C21CBB"/>
    <w:rsid w:val="00C225A8"/>
    <w:rsid w:val="00C22919"/>
    <w:rsid w:val="00C230EB"/>
    <w:rsid w:val="00C238ED"/>
    <w:rsid w:val="00C23D99"/>
    <w:rsid w:val="00C24EB1"/>
    <w:rsid w:val="00C25287"/>
    <w:rsid w:val="00C2536D"/>
    <w:rsid w:val="00C258A1"/>
    <w:rsid w:val="00C25DBE"/>
    <w:rsid w:val="00C260E1"/>
    <w:rsid w:val="00C26215"/>
    <w:rsid w:val="00C268A7"/>
    <w:rsid w:val="00C26B44"/>
    <w:rsid w:val="00C26FB5"/>
    <w:rsid w:val="00C27603"/>
    <w:rsid w:val="00C306EF"/>
    <w:rsid w:val="00C31893"/>
    <w:rsid w:val="00C3257B"/>
    <w:rsid w:val="00C330C3"/>
    <w:rsid w:val="00C3321F"/>
    <w:rsid w:val="00C346B9"/>
    <w:rsid w:val="00C349F5"/>
    <w:rsid w:val="00C34E12"/>
    <w:rsid w:val="00C35142"/>
    <w:rsid w:val="00C35269"/>
    <w:rsid w:val="00C35664"/>
    <w:rsid w:val="00C35845"/>
    <w:rsid w:val="00C36429"/>
    <w:rsid w:val="00C365E5"/>
    <w:rsid w:val="00C3687B"/>
    <w:rsid w:val="00C36E50"/>
    <w:rsid w:val="00C36E90"/>
    <w:rsid w:val="00C402A1"/>
    <w:rsid w:val="00C403F0"/>
    <w:rsid w:val="00C40B87"/>
    <w:rsid w:val="00C40CBD"/>
    <w:rsid w:val="00C40D48"/>
    <w:rsid w:val="00C40ED7"/>
    <w:rsid w:val="00C414DF"/>
    <w:rsid w:val="00C41F03"/>
    <w:rsid w:val="00C4240A"/>
    <w:rsid w:val="00C4269D"/>
    <w:rsid w:val="00C428D7"/>
    <w:rsid w:val="00C431BF"/>
    <w:rsid w:val="00C434D5"/>
    <w:rsid w:val="00C43A7C"/>
    <w:rsid w:val="00C43EFF"/>
    <w:rsid w:val="00C441C4"/>
    <w:rsid w:val="00C44316"/>
    <w:rsid w:val="00C445AE"/>
    <w:rsid w:val="00C44BD2"/>
    <w:rsid w:val="00C44C5F"/>
    <w:rsid w:val="00C450EE"/>
    <w:rsid w:val="00C456F2"/>
    <w:rsid w:val="00C45B74"/>
    <w:rsid w:val="00C46C8B"/>
    <w:rsid w:val="00C46F9A"/>
    <w:rsid w:val="00C46FE3"/>
    <w:rsid w:val="00C47E61"/>
    <w:rsid w:val="00C503FF"/>
    <w:rsid w:val="00C50415"/>
    <w:rsid w:val="00C50951"/>
    <w:rsid w:val="00C52225"/>
    <w:rsid w:val="00C537A1"/>
    <w:rsid w:val="00C53EB4"/>
    <w:rsid w:val="00C55C44"/>
    <w:rsid w:val="00C56565"/>
    <w:rsid w:val="00C56B32"/>
    <w:rsid w:val="00C575B9"/>
    <w:rsid w:val="00C603D0"/>
    <w:rsid w:val="00C60777"/>
    <w:rsid w:val="00C60784"/>
    <w:rsid w:val="00C61085"/>
    <w:rsid w:val="00C6120F"/>
    <w:rsid w:val="00C61DE2"/>
    <w:rsid w:val="00C62048"/>
    <w:rsid w:val="00C62055"/>
    <w:rsid w:val="00C6242A"/>
    <w:rsid w:val="00C624E6"/>
    <w:rsid w:val="00C62620"/>
    <w:rsid w:val="00C62DE4"/>
    <w:rsid w:val="00C62E39"/>
    <w:rsid w:val="00C63A48"/>
    <w:rsid w:val="00C63FB1"/>
    <w:rsid w:val="00C6439A"/>
    <w:rsid w:val="00C64449"/>
    <w:rsid w:val="00C64600"/>
    <w:rsid w:val="00C647E6"/>
    <w:rsid w:val="00C64EC0"/>
    <w:rsid w:val="00C65680"/>
    <w:rsid w:val="00C65A1A"/>
    <w:rsid w:val="00C66449"/>
    <w:rsid w:val="00C66E79"/>
    <w:rsid w:val="00C703FF"/>
    <w:rsid w:val="00C70439"/>
    <w:rsid w:val="00C70D8A"/>
    <w:rsid w:val="00C7121E"/>
    <w:rsid w:val="00C7198D"/>
    <w:rsid w:val="00C719BA"/>
    <w:rsid w:val="00C71C3A"/>
    <w:rsid w:val="00C72403"/>
    <w:rsid w:val="00C7384E"/>
    <w:rsid w:val="00C73FD8"/>
    <w:rsid w:val="00C74076"/>
    <w:rsid w:val="00C740C3"/>
    <w:rsid w:val="00C746BB"/>
    <w:rsid w:val="00C7488C"/>
    <w:rsid w:val="00C74BF0"/>
    <w:rsid w:val="00C74CD6"/>
    <w:rsid w:val="00C74DD9"/>
    <w:rsid w:val="00C752B1"/>
    <w:rsid w:val="00C75DE0"/>
    <w:rsid w:val="00C76067"/>
    <w:rsid w:val="00C76122"/>
    <w:rsid w:val="00C76302"/>
    <w:rsid w:val="00C77414"/>
    <w:rsid w:val="00C77C5A"/>
    <w:rsid w:val="00C80B0B"/>
    <w:rsid w:val="00C80D1C"/>
    <w:rsid w:val="00C81074"/>
    <w:rsid w:val="00C815CE"/>
    <w:rsid w:val="00C81B13"/>
    <w:rsid w:val="00C82251"/>
    <w:rsid w:val="00C83036"/>
    <w:rsid w:val="00C83F27"/>
    <w:rsid w:val="00C84514"/>
    <w:rsid w:val="00C8451D"/>
    <w:rsid w:val="00C84C34"/>
    <w:rsid w:val="00C85295"/>
    <w:rsid w:val="00C852DA"/>
    <w:rsid w:val="00C85BA5"/>
    <w:rsid w:val="00C85D27"/>
    <w:rsid w:val="00C8615D"/>
    <w:rsid w:val="00C90237"/>
    <w:rsid w:val="00C90718"/>
    <w:rsid w:val="00C9097C"/>
    <w:rsid w:val="00C9138E"/>
    <w:rsid w:val="00C916F5"/>
    <w:rsid w:val="00C9182D"/>
    <w:rsid w:val="00C92A14"/>
    <w:rsid w:val="00C92BC7"/>
    <w:rsid w:val="00C92EEA"/>
    <w:rsid w:val="00C93303"/>
    <w:rsid w:val="00C9349B"/>
    <w:rsid w:val="00C93BFE"/>
    <w:rsid w:val="00C93ECB"/>
    <w:rsid w:val="00C94BA6"/>
    <w:rsid w:val="00C94E45"/>
    <w:rsid w:val="00C952E7"/>
    <w:rsid w:val="00C95D08"/>
    <w:rsid w:val="00C9603F"/>
    <w:rsid w:val="00C96800"/>
    <w:rsid w:val="00C96DB0"/>
    <w:rsid w:val="00C97346"/>
    <w:rsid w:val="00C97938"/>
    <w:rsid w:val="00CA040A"/>
    <w:rsid w:val="00CA1010"/>
    <w:rsid w:val="00CA19D9"/>
    <w:rsid w:val="00CA1D2F"/>
    <w:rsid w:val="00CA27C8"/>
    <w:rsid w:val="00CA4115"/>
    <w:rsid w:val="00CA426E"/>
    <w:rsid w:val="00CA466C"/>
    <w:rsid w:val="00CA4A37"/>
    <w:rsid w:val="00CA60F8"/>
    <w:rsid w:val="00CA61EE"/>
    <w:rsid w:val="00CA6350"/>
    <w:rsid w:val="00CA66E4"/>
    <w:rsid w:val="00CA6769"/>
    <w:rsid w:val="00CA6B0C"/>
    <w:rsid w:val="00CA712A"/>
    <w:rsid w:val="00CA7A0B"/>
    <w:rsid w:val="00CB02E0"/>
    <w:rsid w:val="00CB0990"/>
    <w:rsid w:val="00CB12BD"/>
    <w:rsid w:val="00CB13D6"/>
    <w:rsid w:val="00CB1594"/>
    <w:rsid w:val="00CB1C02"/>
    <w:rsid w:val="00CB2418"/>
    <w:rsid w:val="00CB24FE"/>
    <w:rsid w:val="00CB2600"/>
    <w:rsid w:val="00CB339B"/>
    <w:rsid w:val="00CB33C6"/>
    <w:rsid w:val="00CB3602"/>
    <w:rsid w:val="00CB3D66"/>
    <w:rsid w:val="00CB43B0"/>
    <w:rsid w:val="00CB4715"/>
    <w:rsid w:val="00CB4975"/>
    <w:rsid w:val="00CB5747"/>
    <w:rsid w:val="00CB58A0"/>
    <w:rsid w:val="00CB5E03"/>
    <w:rsid w:val="00CB605A"/>
    <w:rsid w:val="00CB6254"/>
    <w:rsid w:val="00CB63D9"/>
    <w:rsid w:val="00CB6588"/>
    <w:rsid w:val="00CB6DC9"/>
    <w:rsid w:val="00CB744C"/>
    <w:rsid w:val="00CC03C2"/>
    <w:rsid w:val="00CC0D07"/>
    <w:rsid w:val="00CC1763"/>
    <w:rsid w:val="00CC2970"/>
    <w:rsid w:val="00CC3110"/>
    <w:rsid w:val="00CC35F9"/>
    <w:rsid w:val="00CC4E9E"/>
    <w:rsid w:val="00CC5004"/>
    <w:rsid w:val="00CC590B"/>
    <w:rsid w:val="00CC626C"/>
    <w:rsid w:val="00CC68DB"/>
    <w:rsid w:val="00CC6BD6"/>
    <w:rsid w:val="00CC6DBC"/>
    <w:rsid w:val="00CC7802"/>
    <w:rsid w:val="00CC7FE6"/>
    <w:rsid w:val="00CD0159"/>
    <w:rsid w:val="00CD0278"/>
    <w:rsid w:val="00CD0F0C"/>
    <w:rsid w:val="00CD2606"/>
    <w:rsid w:val="00CD2EC7"/>
    <w:rsid w:val="00CD32D1"/>
    <w:rsid w:val="00CD3412"/>
    <w:rsid w:val="00CD3615"/>
    <w:rsid w:val="00CD4261"/>
    <w:rsid w:val="00CD50F8"/>
    <w:rsid w:val="00CD54D4"/>
    <w:rsid w:val="00CD5C46"/>
    <w:rsid w:val="00CD6655"/>
    <w:rsid w:val="00CD6870"/>
    <w:rsid w:val="00CD6DE9"/>
    <w:rsid w:val="00CD6F76"/>
    <w:rsid w:val="00CD6F98"/>
    <w:rsid w:val="00CD7356"/>
    <w:rsid w:val="00CD79FC"/>
    <w:rsid w:val="00CD7FC1"/>
    <w:rsid w:val="00CE0259"/>
    <w:rsid w:val="00CE0500"/>
    <w:rsid w:val="00CE0611"/>
    <w:rsid w:val="00CE118B"/>
    <w:rsid w:val="00CE16B6"/>
    <w:rsid w:val="00CE1D5D"/>
    <w:rsid w:val="00CE20F4"/>
    <w:rsid w:val="00CE2EA9"/>
    <w:rsid w:val="00CE346C"/>
    <w:rsid w:val="00CE3C38"/>
    <w:rsid w:val="00CE40AF"/>
    <w:rsid w:val="00CE4FA4"/>
    <w:rsid w:val="00CE55EF"/>
    <w:rsid w:val="00CE5AB9"/>
    <w:rsid w:val="00CE5B86"/>
    <w:rsid w:val="00CE61FD"/>
    <w:rsid w:val="00CE63BD"/>
    <w:rsid w:val="00CE6682"/>
    <w:rsid w:val="00CE6F28"/>
    <w:rsid w:val="00CE7120"/>
    <w:rsid w:val="00CE7E2C"/>
    <w:rsid w:val="00CF04C6"/>
    <w:rsid w:val="00CF0BAE"/>
    <w:rsid w:val="00CF12D1"/>
    <w:rsid w:val="00CF197D"/>
    <w:rsid w:val="00CF1A4F"/>
    <w:rsid w:val="00CF1FD6"/>
    <w:rsid w:val="00CF2228"/>
    <w:rsid w:val="00CF2498"/>
    <w:rsid w:val="00CF328C"/>
    <w:rsid w:val="00CF3383"/>
    <w:rsid w:val="00CF3966"/>
    <w:rsid w:val="00CF3D0D"/>
    <w:rsid w:val="00CF43B4"/>
    <w:rsid w:val="00CF47F1"/>
    <w:rsid w:val="00CF5035"/>
    <w:rsid w:val="00CF594D"/>
    <w:rsid w:val="00CF6032"/>
    <w:rsid w:val="00CF6E11"/>
    <w:rsid w:val="00CF750B"/>
    <w:rsid w:val="00CF7BC8"/>
    <w:rsid w:val="00D007A0"/>
    <w:rsid w:val="00D01101"/>
    <w:rsid w:val="00D013FC"/>
    <w:rsid w:val="00D01527"/>
    <w:rsid w:val="00D01BE2"/>
    <w:rsid w:val="00D01D9B"/>
    <w:rsid w:val="00D01E28"/>
    <w:rsid w:val="00D02080"/>
    <w:rsid w:val="00D022A0"/>
    <w:rsid w:val="00D02B59"/>
    <w:rsid w:val="00D03283"/>
    <w:rsid w:val="00D03539"/>
    <w:rsid w:val="00D03AF0"/>
    <w:rsid w:val="00D044E2"/>
    <w:rsid w:val="00D045DB"/>
    <w:rsid w:val="00D0598D"/>
    <w:rsid w:val="00D05C93"/>
    <w:rsid w:val="00D05DFF"/>
    <w:rsid w:val="00D05F4D"/>
    <w:rsid w:val="00D06287"/>
    <w:rsid w:val="00D069DA"/>
    <w:rsid w:val="00D06B84"/>
    <w:rsid w:val="00D0704B"/>
    <w:rsid w:val="00D07D1C"/>
    <w:rsid w:val="00D1015A"/>
    <w:rsid w:val="00D10267"/>
    <w:rsid w:val="00D10D87"/>
    <w:rsid w:val="00D10F36"/>
    <w:rsid w:val="00D117A3"/>
    <w:rsid w:val="00D12DBB"/>
    <w:rsid w:val="00D13B1D"/>
    <w:rsid w:val="00D13C8E"/>
    <w:rsid w:val="00D1431A"/>
    <w:rsid w:val="00D148D1"/>
    <w:rsid w:val="00D15137"/>
    <w:rsid w:val="00D156D3"/>
    <w:rsid w:val="00D15BFB"/>
    <w:rsid w:val="00D1622E"/>
    <w:rsid w:val="00D162A0"/>
    <w:rsid w:val="00D1643C"/>
    <w:rsid w:val="00D16539"/>
    <w:rsid w:val="00D16741"/>
    <w:rsid w:val="00D17249"/>
    <w:rsid w:val="00D1738C"/>
    <w:rsid w:val="00D175D4"/>
    <w:rsid w:val="00D1781D"/>
    <w:rsid w:val="00D17A76"/>
    <w:rsid w:val="00D17C27"/>
    <w:rsid w:val="00D20E6A"/>
    <w:rsid w:val="00D218A4"/>
    <w:rsid w:val="00D21E64"/>
    <w:rsid w:val="00D22DBE"/>
    <w:rsid w:val="00D23438"/>
    <w:rsid w:val="00D2444C"/>
    <w:rsid w:val="00D24C1B"/>
    <w:rsid w:val="00D2537F"/>
    <w:rsid w:val="00D254F8"/>
    <w:rsid w:val="00D25E73"/>
    <w:rsid w:val="00D26D5C"/>
    <w:rsid w:val="00D26FCC"/>
    <w:rsid w:val="00D274A0"/>
    <w:rsid w:val="00D2785C"/>
    <w:rsid w:val="00D27C46"/>
    <w:rsid w:val="00D3035C"/>
    <w:rsid w:val="00D30A46"/>
    <w:rsid w:val="00D3127D"/>
    <w:rsid w:val="00D33D53"/>
    <w:rsid w:val="00D34475"/>
    <w:rsid w:val="00D34DA9"/>
    <w:rsid w:val="00D408A4"/>
    <w:rsid w:val="00D41607"/>
    <w:rsid w:val="00D4174E"/>
    <w:rsid w:val="00D42F50"/>
    <w:rsid w:val="00D431B0"/>
    <w:rsid w:val="00D43DA8"/>
    <w:rsid w:val="00D4523C"/>
    <w:rsid w:val="00D45394"/>
    <w:rsid w:val="00D4551E"/>
    <w:rsid w:val="00D45A75"/>
    <w:rsid w:val="00D45C12"/>
    <w:rsid w:val="00D466B2"/>
    <w:rsid w:val="00D468F9"/>
    <w:rsid w:val="00D46F1F"/>
    <w:rsid w:val="00D471FB"/>
    <w:rsid w:val="00D47BDB"/>
    <w:rsid w:val="00D47FB9"/>
    <w:rsid w:val="00D5036C"/>
    <w:rsid w:val="00D50CB1"/>
    <w:rsid w:val="00D50DB6"/>
    <w:rsid w:val="00D50FDC"/>
    <w:rsid w:val="00D51665"/>
    <w:rsid w:val="00D516D4"/>
    <w:rsid w:val="00D52427"/>
    <w:rsid w:val="00D5322E"/>
    <w:rsid w:val="00D5331B"/>
    <w:rsid w:val="00D539A9"/>
    <w:rsid w:val="00D56306"/>
    <w:rsid w:val="00D56642"/>
    <w:rsid w:val="00D566E2"/>
    <w:rsid w:val="00D56745"/>
    <w:rsid w:val="00D57374"/>
    <w:rsid w:val="00D57C83"/>
    <w:rsid w:val="00D6011B"/>
    <w:rsid w:val="00D60296"/>
    <w:rsid w:val="00D60A70"/>
    <w:rsid w:val="00D60F02"/>
    <w:rsid w:val="00D61C37"/>
    <w:rsid w:val="00D61E29"/>
    <w:rsid w:val="00D62346"/>
    <w:rsid w:val="00D62C3C"/>
    <w:rsid w:val="00D62C4E"/>
    <w:rsid w:val="00D63355"/>
    <w:rsid w:val="00D635C9"/>
    <w:rsid w:val="00D63949"/>
    <w:rsid w:val="00D63C36"/>
    <w:rsid w:val="00D63DDC"/>
    <w:rsid w:val="00D6415D"/>
    <w:rsid w:val="00D642F9"/>
    <w:rsid w:val="00D64537"/>
    <w:rsid w:val="00D64E53"/>
    <w:rsid w:val="00D6547C"/>
    <w:rsid w:val="00D65986"/>
    <w:rsid w:val="00D664C0"/>
    <w:rsid w:val="00D66895"/>
    <w:rsid w:val="00D66A43"/>
    <w:rsid w:val="00D66FD2"/>
    <w:rsid w:val="00D67631"/>
    <w:rsid w:val="00D67729"/>
    <w:rsid w:val="00D67A64"/>
    <w:rsid w:val="00D67C10"/>
    <w:rsid w:val="00D701A7"/>
    <w:rsid w:val="00D7027A"/>
    <w:rsid w:val="00D706EB"/>
    <w:rsid w:val="00D70A2C"/>
    <w:rsid w:val="00D73BD7"/>
    <w:rsid w:val="00D73E88"/>
    <w:rsid w:val="00D75542"/>
    <w:rsid w:val="00D765DA"/>
    <w:rsid w:val="00D77271"/>
    <w:rsid w:val="00D77999"/>
    <w:rsid w:val="00D80392"/>
    <w:rsid w:val="00D81D80"/>
    <w:rsid w:val="00D81FA6"/>
    <w:rsid w:val="00D82EFA"/>
    <w:rsid w:val="00D830A8"/>
    <w:rsid w:val="00D8437B"/>
    <w:rsid w:val="00D848AC"/>
    <w:rsid w:val="00D84C42"/>
    <w:rsid w:val="00D84CE9"/>
    <w:rsid w:val="00D85CDF"/>
    <w:rsid w:val="00D85D8F"/>
    <w:rsid w:val="00D8670E"/>
    <w:rsid w:val="00D870EC"/>
    <w:rsid w:val="00D87410"/>
    <w:rsid w:val="00D874E5"/>
    <w:rsid w:val="00D87563"/>
    <w:rsid w:val="00D87615"/>
    <w:rsid w:val="00D90F5F"/>
    <w:rsid w:val="00D91924"/>
    <w:rsid w:val="00D92B70"/>
    <w:rsid w:val="00D92F36"/>
    <w:rsid w:val="00D93345"/>
    <w:rsid w:val="00D940D8"/>
    <w:rsid w:val="00D941C2"/>
    <w:rsid w:val="00D94366"/>
    <w:rsid w:val="00D94FDD"/>
    <w:rsid w:val="00D9579B"/>
    <w:rsid w:val="00D9584B"/>
    <w:rsid w:val="00D95C08"/>
    <w:rsid w:val="00D95C94"/>
    <w:rsid w:val="00D95EC6"/>
    <w:rsid w:val="00D961CD"/>
    <w:rsid w:val="00D96C5F"/>
    <w:rsid w:val="00D97023"/>
    <w:rsid w:val="00D970E2"/>
    <w:rsid w:val="00D97584"/>
    <w:rsid w:val="00DA006A"/>
    <w:rsid w:val="00DA1459"/>
    <w:rsid w:val="00DA1643"/>
    <w:rsid w:val="00DA1741"/>
    <w:rsid w:val="00DA418B"/>
    <w:rsid w:val="00DA4272"/>
    <w:rsid w:val="00DA44BC"/>
    <w:rsid w:val="00DA4925"/>
    <w:rsid w:val="00DA4CA3"/>
    <w:rsid w:val="00DA4FF9"/>
    <w:rsid w:val="00DA50D5"/>
    <w:rsid w:val="00DA571A"/>
    <w:rsid w:val="00DA5BE8"/>
    <w:rsid w:val="00DA6EE0"/>
    <w:rsid w:val="00DA7424"/>
    <w:rsid w:val="00DA7646"/>
    <w:rsid w:val="00DA7984"/>
    <w:rsid w:val="00DA7A74"/>
    <w:rsid w:val="00DA7D3B"/>
    <w:rsid w:val="00DA7EDA"/>
    <w:rsid w:val="00DB02CC"/>
    <w:rsid w:val="00DB0760"/>
    <w:rsid w:val="00DB0B10"/>
    <w:rsid w:val="00DB2579"/>
    <w:rsid w:val="00DB2616"/>
    <w:rsid w:val="00DB29F1"/>
    <w:rsid w:val="00DB31B2"/>
    <w:rsid w:val="00DB32E3"/>
    <w:rsid w:val="00DB3DE6"/>
    <w:rsid w:val="00DB4957"/>
    <w:rsid w:val="00DB496E"/>
    <w:rsid w:val="00DB5191"/>
    <w:rsid w:val="00DB5305"/>
    <w:rsid w:val="00DB5C0D"/>
    <w:rsid w:val="00DB5E56"/>
    <w:rsid w:val="00DB5FCE"/>
    <w:rsid w:val="00DB65B4"/>
    <w:rsid w:val="00DB678C"/>
    <w:rsid w:val="00DB6A05"/>
    <w:rsid w:val="00DB6CD2"/>
    <w:rsid w:val="00DB7268"/>
    <w:rsid w:val="00DB76BB"/>
    <w:rsid w:val="00DB79E6"/>
    <w:rsid w:val="00DC06AF"/>
    <w:rsid w:val="00DC08AA"/>
    <w:rsid w:val="00DC0A22"/>
    <w:rsid w:val="00DC19B9"/>
    <w:rsid w:val="00DC1C61"/>
    <w:rsid w:val="00DC2B0A"/>
    <w:rsid w:val="00DC3527"/>
    <w:rsid w:val="00DC4A81"/>
    <w:rsid w:val="00DC568D"/>
    <w:rsid w:val="00DC591A"/>
    <w:rsid w:val="00DC5923"/>
    <w:rsid w:val="00DC671F"/>
    <w:rsid w:val="00DC69C5"/>
    <w:rsid w:val="00DC7219"/>
    <w:rsid w:val="00DC774A"/>
    <w:rsid w:val="00DD055C"/>
    <w:rsid w:val="00DD0A18"/>
    <w:rsid w:val="00DD2070"/>
    <w:rsid w:val="00DD23B7"/>
    <w:rsid w:val="00DD251B"/>
    <w:rsid w:val="00DD28D4"/>
    <w:rsid w:val="00DD3488"/>
    <w:rsid w:val="00DD3DCD"/>
    <w:rsid w:val="00DD4343"/>
    <w:rsid w:val="00DD46D7"/>
    <w:rsid w:val="00DD48A1"/>
    <w:rsid w:val="00DD4B39"/>
    <w:rsid w:val="00DD4FCD"/>
    <w:rsid w:val="00DD5233"/>
    <w:rsid w:val="00DD56BA"/>
    <w:rsid w:val="00DD6416"/>
    <w:rsid w:val="00DD6807"/>
    <w:rsid w:val="00DD6DA3"/>
    <w:rsid w:val="00DD6DED"/>
    <w:rsid w:val="00DD716A"/>
    <w:rsid w:val="00DD7247"/>
    <w:rsid w:val="00DD73BA"/>
    <w:rsid w:val="00DD7910"/>
    <w:rsid w:val="00DD7BA2"/>
    <w:rsid w:val="00DD7C82"/>
    <w:rsid w:val="00DE06B3"/>
    <w:rsid w:val="00DE0869"/>
    <w:rsid w:val="00DE1181"/>
    <w:rsid w:val="00DE1533"/>
    <w:rsid w:val="00DE1CBA"/>
    <w:rsid w:val="00DE263F"/>
    <w:rsid w:val="00DE26B4"/>
    <w:rsid w:val="00DE2B32"/>
    <w:rsid w:val="00DE375D"/>
    <w:rsid w:val="00DE3A7E"/>
    <w:rsid w:val="00DE3F65"/>
    <w:rsid w:val="00DE4954"/>
    <w:rsid w:val="00DE539D"/>
    <w:rsid w:val="00DE5B03"/>
    <w:rsid w:val="00DE6384"/>
    <w:rsid w:val="00DE6647"/>
    <w:rsid w:val="00DE762A"/>
    <w:rsid w:val="00DE786C"/>
    <w:rsid w:val="00DF03AB"/>
    <w:rsid w:val="00DF04F2"/>
    <w:rsid w:val="00DF10FA"/>
    <w:rsid w:val="00DF1B8A"/>
    <w:rsid w:val="00DF1C59"/>
    <w:rsid w:val="00DF1CAC"/>
    <w:rsid w:val="00DF1F51"/>
    <w:rsid w:val="00DF20DB"/>
    <w:rsid w:val="00DF2948"/>
    <w:rsid w:val="00DF30B0"/>
    <w:rsid w:val="00DF3FB5"/>
    <w:rsid w:val="00DF413A"/>
    <w:rsid w:val="00DF511B"/>
    <w:rsid w:val="00DF5196"/>
    <w:rsid w:val="00DF522D"/>
    <w:rsid w:val="00DF5316"/>
    <w:rsid w:val="00DF5525"/>
    <w:rsid w:val="00DF57C7"/>
    <w:rsid w:val="00DF5AF3"/>
    <w:rsid w:val="00DF62C6"/>
    <w:rsid w:val="00DF682C"/>
    <w:rsid w:val="00DF6A23"/>
    <w:rsid w:val="00DF6CB4"/>
    <w:rsid w:val="00DF7028"/>
    <w:rsid w:val="00E007D4"/>
    <w:rsid w:val="00E00D6D"/>
    <w:rsid w:val="00E01902"/>
    <w:rsid w:val="00E01B8D"/>
    <w:rsid w:val="00E024B7"/>
    <w:rsid w:val="00E026E6"/>
    <w:rsid w:val="00E02A58"/>
    <w:rsid w:val="00E03953"/>
    <w:rsid w:val="00E03A0F"/>
    <w:rsid w:val="00E03C5E"/>
    <w:rsid w:val="00E0448E"/>
    <w:rsid w:val="00E04FEC"/>
    <w:rsid w:val="00E0593C"/>
    <w:rsid w:val="00E05CCA"/>
    <w:rsid w:val="00E05F99"/>
    <w:rsid w:val="00E05F9D"/>
    <w:rsid w:val="00E062DD"/>
    <w:rsid w:val="00E06C16"/>
    <w:rsid w:val="00E06ECA"/>
    <w:rsid w:val="00E07360"/>
    <w:rsid w:val="00E100EC"/>
    <w:rsid w:val="00E10334"/>
    <w:rsid w:val="00E10CA9"/>
    <w:rsid w:val="00E10FE4"/>
    <w:rsid w:val="00E111F6"/>
    <w:rsid w:val="00E118DA"/>
    <w:rsid w:val="00E11955"/>
    <w:rsid w:val="00E11F2C"/>
    <w:rsid w:val="00E12278"/>
    <w:rsid w:val="00E12A2D"/>
    <w:rsid w:val="00E134CE"/>
    <w:rsid w:val="00E13FCF"/>
    <w:rsid w:val="00E14389"/>
    <w:rsid w:val="00E148CB"/>
    <w:rsid w:val="00E14946"/>
    <w:rsid w:val="00E14B48"/>
    <w:rsid w:val="00E14EF0"/>
    <w:rsid w:val="00E1587D"/>
    <w:rsid w:val="00E15B97"/>
    <w:rsid w:val="00E16170"/>
    <w:rsid w:val="00E161B7"/>
    <w:rsid w:val="00E162E2"/>
    <w:rsid w:val="00E167FA"/>
    <w:rsid w:val="00E16A79"/>
    <w:rsid w:val="00E16A86"/>
    <w:rsid w:val="00E17269"/>
    <w:rsid w:val="00E17740"/>
    <w:rsid w:val="00E17976"/>
    <w:rsid w:val="00E17F53"/>
    <w:rsid w:val="00E2021B"/>
    <w:rsid w:val="00E203F7"/>
    <w:rsid w:val="00E2061E"/>
    <w:rsid w:val="00E210E8"/>
    <w:rsid w:val="00E21328"/>
    <w:rsid w:val="00E217C3"/>
    <w:rsid w:val="00E219B2"/>
    <w:rsid w:val="00E22474"/>
    <w:rsid w:val="00E22A92"/>
    <w:rsid w:val="00E22B23"/>
    <w:rsid w:val="00E237C3"/>
    <w:rsid w:val="00E23AA5"/>
    <w:rsid w:val="00E23B22"/>
    <w:rsid w:val="00E23D6E"/>
    <w:rsid w:val="00E25700"/>
    <w:rsid w:val="00E25A4A"/>
    <w:rsid w:val="00E25F59"/>
    <w:rsid w:val="00E2630E"/>
    <w:rsid w:val="00E263B0"/>
    <w:rsid w:val="00E27577"/>
    <w:rsid w:val="00E306FE"/>
    <w:rsid w:val="00E30AEC"/>
    <w:rsid w:val="00E30BD7"/>
    <w:rsid w:val="00E30E37"/>
    <w:rsid w:val="00E31589"/>
    <w:rsid w:val="00E31592"/>
    <w:rsid w:val="00E315CE"/>
    <w:rsid w:val="00E3190A"/>
    <w:rsid w:val="00E31B6A"/>
    <w:rsid w:val="00E31E0B"/>
    <w:rsid w:val="00E32949"/>
    <w:rsid w:val="00E32E0C"/>
    <w:rsid w:val="00E32F66"/>
    <w:rsid w:val="00E3331F"/>
    <w:rsid w:val="00E3354C"/>
    <w:rsid w:val="00E338B7"/>
    <w:rsid w:val="00E34926"/>
    <w:rsid w:val="00E34F31"/>
    <w:rsid w:val="00E356ED"/>
    <w:rsid w:val="00E35BCA"/>
    <w:rsid w:val="00E36397"/>
    <w:rsid w:val="00E363A5"/>
    <w:rsid w:val="00E37CDA"/>
    <w:rsid w:val="00E40862"/>
    <w:rsid w:val="00E422B3"/>
    <w:rsid w:val="00E4268C"/>
    <w:rsid w:val="00E42873"/>
    <w:rsid w:val="00E436CD"/>
    <w:rsid w:val="00E43823"/>
    <w:rsid w:val="00E44F38"/>
    <w:rsid w:val="00E451A8"/>
    <w:rsid w:val="00E45DE8"/>
    <w:rsid w:val="00E4639B"/>
    <w:rsid w:val="00E466BB"/>
    <w:rsid w:val="00E46A1B"/>
    <w:rsid w:val="00E46D10"/>
    <w:rsid w:val="00E46DC1"/>
    <w:rsid w:val="00E46FB3"/>
    <w:rsid w:val="00E47B22"/>
    <w:rsid w:val="00E47B45"/>
    <w:rsid w:val="00E47C9A"/>
    <w:rsid w:val="00E5078A"/>
    <w:rsid w:val="00E50AF4"/>
    <w:rsid w:val="00E5106B"/>
    <w:rsid w:val="00E51076"/>
    <w:rsid w:val="00E518DC"/>
    <w:rsid w:val="00E51D1C"/>
    <w:rsid w:val="00E521D1"/>
    <w:rsid w:val="00E52CD4"/>
    <w:rsid w:val="00E52E04"/>
    <w:rsid w:val="00E53323"/>
    <w:rsid w:val="00E5367C"/>
    <w:rsid w:val="00E540DB"/>
    <w:rsid w:val="00E54186"/>
    <w:rsid w:val="00E55194"/>
    <w:rsid w:val="00E55E76"/>
    <w:rsid w:val="00E56A43"/>
    <w:rsid w:val="00E57776"/>
    <w:rsid w:val="00E577A4"/>
    <w:rsid w:val="00E57CE8"/>
    <w:rsid w:val="00E607C9"/>
    <w:rsid w:val="00E60C32"/>
    <w:rsid w:val="00E61EE6"/>
    <w:rsid w:val="00E62A95"/>
    <w:rsid w:val="00E62D4F"/>
    <w:rsid w:val="00E634CC"/>
    <w:rsid w:val="00E63E21"/>
    <w:rsid w:val="00E64452"/>
    <w:rsid w:val="00E64A2C"/>
    <w:rsid w:val="00E66188"/>
    <w:rsid w:val="00E67E93"/>
    <w:rsid w:val="00E67F7A"/>
    <w:rsid w:val="00E7046A"/>
    <w:rsid w:val="00E70771"/>
    <w:rsid w:val="00E70E19"/>
    <w:rsid w:val="00E71088"/>
    <w:rsid w:val="00E716A6"/>
    <w:rsid w:val="00E718CF"/>
    <w:rsid w:val="00E71A06"/>
    <w:rsid w:val="00E71E51"/>
    <w:rsid w:val="00E71FAF"/>
    <w:rsid w:val="00E723E7"/>
    <w:rsid w:val="00E7356D"/>
    <w:rsid w:val="00E7367D"/>
    <w:rsid w:val="00E7417B"/>
    <w:rsid w:val="00E74474"/>
    <w:rsid w:val="00E748CB"/>
    <w:rsid w:val="00E74BCB"/>
    <w:rsid w:val="00E74EC8"/>
    <w:rsid w:val="00E75407"/>
    <w:rsid w:val="00E7576A"/>
    <w:rsid w:val="00E75CAD"/>
    <w:rsid w:val="00E75D2F"/>
    <w:rsid w:val="00E7642A"/>
    <w:rsid w:val="00E7650E"/>
    <w:rsid w:val="00E77136"/>
    <w:rsid w:val="00E7742D"/>
    <w:rsid w:val="00E80036"/>
    <w:rsid w:val="00E80934"/>
    <w:rsid w:val="00E80C46"/>
    <w:rsid w:val="00E80E54"/>
    <w:rsid w:val="00E810FE"/>
    <w:rsid w:val="00E81464"/>
    <w:rsid w:val="00E821D7"/>
    <w:rsid w:val="00E82997"/>
    <w:rsid w:val="00E837D7"/>
    <w:rsid w:val="00E840CF"/>
    <w:rsid w:val="00E84A57"/>
    <w:rsid w:val="00E86031"/>
    <w:rsid w:val="00E86602"/>
    <w:rsid w:val="00E86DF0"/>
    <w:rsid w:val="00E87098"/>
    <w:rsid w:val="00E87586"/>
    <w:rsid w:val="00E8775A"/>
    <w:rsid w:val="00E87CFE"/>
    <w:rsid w:val="00E907F1"/>
    <w:rsid w:val="00E90EAA"/>
    <w:rsid w:val="00E91076"/>
    <w:rsid w:val="00E923CF"/>
    <w:rsid w:val="00E92D87"/>
    <w:rsid w:val="00E93965"/>
    <w:rsid w:val="00E947E5"/>
    <w:rsid w:val="00E94E67"/>
    <w:rsid w:val="00E952EF"/>
    <w:rsid w:val="00E95348"/>
    <w:rsid w:val="00E955A0"/>
    <w:rsid w:val="00E97312"/>
    <w:rsid w:val="00E97900"/>
    <w:rsid w:val="00E97B7C"/>
    <w:rsid w:val="00E97D5E"/>
    <w:rsid w:val="00EA06F9"/>
    <w:rsid w:val="00EA0C34"/>
    <w:rsid w:val="00EA0CEE"/>
    <w:rsid w:val="00EA10CF"/>
    <w:rsid w:val="00EA19C3"/>
    <w:rsid w:val="00EA19C7"/>
    <w:rsid w:val="00EA1F7E"/>
    <w:rsid w:val="00EA2851"/>
    <w:rsid w:val="00EA2D4B"/>
    <w:rsid w:val="00EA3451"/>
    <w:rsid w:val="00EA3645"/>
    <w:rsid w:val="00EA3893"/>
    <w:rsid w:val="00EA3E79"/>
    <w:rsid w:val="00EA3EAF"/>
    <w:rsid w:val="00EA4289"/>
    <w:rsid w:val="00EA48B7"/>
    <w:rsid w:val="00EA4A2B"/>
    <w:rsid w:val="00EA4ED0"/>
    <w:rsid w:val="00EA513C"/>
    <w:rsid w:val="00EA545D"/>
    <w:rsid w:val="00EA55D8"/>
    <w:rsid w:val="00EA5670"/>
    <w:rsid w:val="00EA662D"/>
    <w:rsid w:val="00EA66BF"/>
    <w:rsid w:val="00EA78C5"/>
    <w:rsid w:val="00EB0411"/>
    <w:rsid w:val="00EB0482"/>
    <w:rsid w:val="00EB1330"/>
    <w:rsid w:val="00EB13E0"/>
    <w:rsid w:val="00EB1F6E"/>
    <w:rsid w:val="00EB2E76"/>
    <w:rsid w:val="00EB2F8E"/>
    <w:rsid w:val="00EB3F50"/>
    <w:rsid w:val="00EB4340"/>
    <w:rsid w:val="00EB4628"/>
    <w:rsid w:val="00EB4649"/>
    <w:rsid w:val="00EB644D"/>
    <w:rsid w:val="00EB6464"/>
    <w:rsid w:val="00EB6736"/>
    <w:rsid w:val="00EB6741"/>
    <w:rsid w:val="00EB70D9"/>
    <w:rsid w:val="00EB73C5"/>
    <w:rsid w:val="00EB7CA8"/>
    <w:rsid w:val="00EC0105"/>
    <w:rsid w:val="00EC0304"/>
    <w:rsid w:val="00EC05D8"/>
    <w:rsid w:val="00EC1956"/>
    <w:rsid w:val="00EC1BB8"/>
    <w:rsid w:val="00EC1F45"/>
    <w:rsid w:val="00EC2BA6"/>
    <w:rsid w:val="00EC3090"/>
    <w:rsid w:val="00EC356C"/>
    <w:rsid w:val="00EC3873"/>
    <w:rsid w:val="00EC4E20"/>
    <w:rsid w:val="00EC4E96"/>
    <w:rsid w:val="00EC5314"/>
    <w:rsid w:val="00EC75BE"/>
    <w:rsid w:val="00EC779E"/>
    <w:rsid w:val="00EC7C6C"/>
    <w:rsid w:val="00EC7E9E"/>
    <w:rsid w:val="00ED0267"/>
    <w:rsid w:val="00ED0295"/>
    <w:rsid w:val="00ED02A9"/>
    <w:rsid w:val="00ED06D9"/>
    <w:rsid w:val="00ED072B"/>
    <w:rsid w:val="00ED0950"/>
    <w:rsid w:val="00ED1FFB"/>
    <w:rsid w:val="00ED35BB"/>
    <w:rsid w:val="00ED390E"/>
    <w:rsid w:val="00ED4E80"/>
    <w:rsid w:val="00ED4F5E"/>
    <w:rsid w:val="00ED525A"/>
    <w:rsid w:val="00ED52C3"/>
    <w:rsid w:val="00ED6123"/>
    <w:rsid w:val="00ED6304"/>
    <w:rsid w:val="00ED640A"/>
    <w:rsid w:val="00ED6585"/>
    <w:rsid w:val="00ED727C"/>
    <w:rsid w:val="00EE03A6"/>
    <w:rsid w:val="00EE09EF"/>
    <w:rsid w:val="00EE0F75"/>
    <w:rsid w:val="00EE0FDE"/>
    <w:rsid w:val="00EE1223"/>
    <w:rsid w:val="00EE1510"/>
    <w:rsid w:val="00EE1A8F"/>
    <w:rsid w:val="00EE1DAC"/>
    <w:rsid w:val="00EE2645"/>
    <w:rsid w:val="00EE26A3"/>
    <w:rsid w:val="00EE28F6"/>
    <w:rsid w:val="00EE33F7"/>
    <w:rsid w:val="00EE352E"/>
    <w:rsid w:val="00EE3559"/>
    <w:rsid w:val="00EE3A23"/>
    <w:rsid w:val="00EE4786"/>
    <w:rsid w:val="00EE4793"/>
    <w:rsid w:val="00EE4901"/>
    <w:rsid w:val="00EE5039"/>
    <w:rsid w:val="00EE50FC"/>
    <w:rsid w:val="00EE51F2"/>
    <w:rsid w:val="00EE59D3"/>
    <w:rsid w:val="00EE5A51"/>
    <w:rsid w:val="00EE63D9"/>
    <w:rsid w:val="00EE75AB"/>
    <w:rsid w:val="00EF0546"/>
    <w:rsid w:val="00EF082E"/>
    <w:rsid w:val="00EF0929"/>
    <w:rsid w:val="00EF0A11"/>
    <w:rsid w:val="00EF155E"/>
    <w:rsid w:val="00EF2FC3"/>
    <w:rsid w:val="00EF2FE5"/>
    <w:rsid w:val="00EF3A8C"/>
    <w:rsid w:val="00EF3CEB"/>
    <w:rsid w:val="00EF3EBF"/>
    <w:rsid w:val="00EF4163"/>
    <w:rsid w:val="00EF46E2"/>
    <w:rsid w:val="00EF4C53"/>
    <w:rsid w:val="00EF4D13"/>
    <w:rsid w:val="00EF50A7"/>
    <w:rsid w:val="00EF5419"/>
    <w:rsid w:val="00EF5506"/>
    <w:rsid w:val="00EF6E6C"/>
    <w:rsid w:val="00EF77B1"/>
    <w:rsid w:val="00F0067C"/>
    <w:rsid w:val="00F00CCC"/>
    <w:rsid w:val="00F00F47"/>
    <w:rsid w:val="00F01D3C"/>
    <w:rsid w:val="00F028C6"/>
    <w:rsid w:val="00F03011"/>
    <w:rsid w:val="00F03E5E"/>
    <w:rsid w:val="00F03F4F"/>
    <w:rsid w:val="00F053A9"/>
    <w:rsid w:val="00F062C9"/>
    <w:rsid w:val="00F064D2"/>
    <w:rsid w:val="00F067BC"/>
    <w:rsid w:val="00F070A7"/>
    <w:rsid w:val="00F0747D"/>
    <w:rsid w:val="00F078B2"/>
    <w:rsid w:val="00F07F37"/>
    <w:rsid w:val="00F07FF4"/>
    <w:rsid w:val="00F10906"/>
    <w:rsid w:val="00F10F0A"/>
    <w:rsid w:val="00F110DC"/>
    <w:rsid w:val="00F116CF"/>
    <w:rsid w:val="00F117BF"/>
    <w:rsid w:val="00F11DC6"/>
    <w:rsid w:val="00F12373"/>
    <w:rsid w:val="00F124D3"/>
    <w:rsid w:val="00F12E39"/>
    <w:rsid w:val="00F1342C"/>
    <w:rsid w:val="00F137CE"/>
    <w:rsid w:val="00F13C46"/>
    <w:rsid w:val="00F13C79"/>
    <w:rsid w:val="00F14027"/>
    <w:rsid w:val="00F14237"/>
    <w:rsid w:val="00F14391"/>
    <w:rsid w:val="00F1455C"/>
    <w:rsid w:val="00F14A99"/>
    <w:rsid w:val="00F15A1A"/>
    <w:rsid w:val="00F15A9B"/>
    <w:rsid w:val="00F16296"/>
    <w:rsid w:val="00F166A5"/>
    <w:rsid w:val="00F16B8B"/>
    <w:rsid w:val="00F16CD7"/>
    <w:rsid w:val="00F16D36"/>
    <w:rsid w:val="00F17FEF"/>
    <w:rsid w:val="00F200D1"/>
    <w:rsid w:val="00F20256"/>
    <w:rsid w:val="00F209C2"/>
    <w:rsid w:val="00F21CF0"/>
    <w:rsid w:val="00F23431"/>
    <w:rsid w:val="00F23A4B"/>
    <w:rsid w:val="00F2469C"/>
    <w:rsid w:val="00F25015"/>
    <w:rsid w:val="00F255C1"/>
    <w:rsid w:val="00F256D7"/>
    <w:rsid w:val="00F259EC"/>
    <w:rsid w:val="00F25B6E"/>
    <w:rsid w:val="00F26BC1"/>
    <w:rsid w:val="00F26E41"/>
    <w:rsid w:val="00F2743B"/>
    <w:rsid w:val="00F27D66"/>
    <w:rsid w:val="00F27E5C"/>
    <w:rsid w:val="00F30590"/>
    <w:rsid w:val="00F30797"/>
    <w:rsid w:val="00F31AAF"/>
    <w:rsid w:val="00F31C66"/>
    <w:rsid w:val="00F3223E"/>
    <w:rsid w:val="00F32CBC"/>
    <w:rsid w:val="00F33342"/>
    <w:rsid w:val="00F33FFE"/>
    <w:rsid w:val="00F340A4"/>
    <w:rsid w:val="00F341CD"/>
    <w:rsid w:val="00F34493"/>
    <w:rsid w:val="00F34A7E"/>
    <w:rsid w:val="00F35590"/>
    <w:rsid w:val="00F356AD"/>
    <w:rsid w:val="00F3594C"/>
    <w:rsid w:val="00F3680D"/>
    <w:rsid w:val="00F376EF"/>
    <w:rsid w:val="00F40250"/>
    <w:rsid w:val="00F409AC"/>
    <w:rsid w:val="00F40BDC"/>
    <w:rsid w:val="00F40E83"/>
    <w:rsid w:val="00F41D35"/>
    <w:rsid w:val="00F42ADD"/>
    <w:rsid w:val="00F42C01"/>
    <w:rsid w:val="00F43157"/>
    <w:rsid w:val="00F43B4B"/>
    <w:rsid w:val="00F43E55"/>
    <w:rsid w:val="00F43FD4"/>
    <w:rsid w:val="00F4491A"/>
    <w:rsid w:val="00F44F3A"/>
    <w:rsid w:val="00F4515E"/>
    <w:rsid w:val="00F45945"/>
    <w:rsid w:val="00F462D7"/>
    <w:rsid w:val="00F46D45"/>
    <w:rsid w:val="00F475B7"/>
    <w:rsid w:val="00F47C68"/>
    <w:rsid w:val="00F47C6E"/>
    <w:rsid w:val="00F47E5E"/>
    <w:rsid w:val="00F47E8E"/>
    <w:rsid w:val="00F50EA2"/>
    <w:rsid w:val="00F524CA"/>
    <w:rsid w:val="00F5362C"/>
    <w:rsid w:val="00F54BFE"/>
    <w:rsid w:val="00F55809"/>
    <w:rsid w:val="00F5610F"/>
    <w:rsid w:val="00F567ED"/>
    <w:rsid w:val="00F57998"/>
    <w:rsid w:val="00F57E37"/>
    <w:rsid w:val="00F6016B"/>
    <w:rsid w:val="00F604BF"/>
    <w:rsid w:val="00F605C0"/>
    <w:rsid w:val="00F606E0"/>
    <w:rsid w:val="00F60C10"/>
    <w:rsid w:val="00F6154D"/>
    <w:rsid w:val="00F61DA1"/>
    <w:rsid w:val="00F61E8B"/>
    <w:rsid w:val="00F62436"/>
    <w:rsid w:val="00F629BB"/>
    <w:rsid w:val="00F629D8"/>
    <w:rsid w:val="00F63819"/>
    <w:rsid w:val="00F64169"/>
    <w:rsid w:val="00F645B4"/>
    <w:rsid w:val="00F64F9A"/>
    <w:rsid w:val="00F6536C"/>
    <w:rsid w:val="00F65932"/>
    <w:rsid w:val="00F659AE"/>
    <w:rsid w:val="00F65A01"/>
    <w:rsid w:val="00F65B06"/>
    <w:rsid w:val="00F66754"/>
    <w:rsid w:val="00F6700E"/>
    <w:rsid w:val="00F6770A"/>
    <w:rsid w:val="00F70862"/>
    <w:rsid w:val="00F70E34"/>
    <w:rsid w:val="00F70E7D"/>
    <w:rsid w:val="00F713FD"/>
    <w:rsid w:val="00F7164E"/>
    <w:rsid w:val="00F71727"/>
    <w:rsid w:val="00F724D7"/>
    <w:rsid w:val="00F72599"/>
    <w:rsid w:val="00F72798"/>
    <w:rsid w:val="00F729B9"/>
    <w:rsid w:val="00F73044"/>
    <w:rsid w:val="00F73AFE"/>
    <w:rsid w:val="00F73CF8"/>
    <w:rsid w:val="00F752C3"/>
    <w:rsid w:val="00F755EE"/>
    <w:rsid w:val="00F75BD6"/>
    <w:rsid w:val="00F773CF"/>
    <w:rsid w:val="00F7777A"/>
    <w:rsid w:val="00F7791F"/>
    <w:rsid w:val="00F77C86"/>
    <w:rsid w:val="00F8010C"/>
    <w:rsid w:val="00F80D6D"/>
    <w:rsid w:val="00F80F19"/>
    <w:rsid w:val="00F8188E"/>
    <w:rsid w:val="00F81F67"/>
    <w:rsid w:val="00F82403"/>
    <w:rsid w:val="00F82CC4"/>
    <w:rsid w:val="00F8329C"/>
    <w:rsid w:val="00F839A9"/>
    <w:rsid w:val="00F83B48"/>
    <w:rsid w:val="00F840E7"/>
    <w:rsid w:val="00F84B8C"/>
    <w:rsid w:val="00F85099"/>
    <w:rsid w:val="00F86484"/>
    <w:rsid w:val="00F868FA"/>
    <w:rsid w:val="00F87D17"/>
    <w:rsid w:val="00F904E4"/>
    <w:rsid w:val="00F921D0"/>
    <w:rsid w:val="00F926BC"/>
    <w:rsid w:val="00F92E37"/>
    <w:rsid w:val="00F93B28"/>
    <w:rsid w:val="00F93D2C"/>
    <w:rsid w:val="00F9456A"/>
    <w:rsid w:val="00F951CC"/>
    <w:rsid w:val="00F95370"/>
    <w:rsid w:val="00F9539E"/>
    <w:rsid w:val="00F95BB8"/>
    <w:rsid w:val="00F95F61"/>
    <w:rsid w:val="00F962E9"/>
    <w:rsid w:val="00F9647E"/>
    <w:rsid w:val="00F968E8"/>
    <w:rsid w:val="00F97B9E"/>
    <w:rsid w:val="00F97BC1"/>
    <w:rsid w:val="00FA01B3"/>
    <w:rsid w:val="00FA01DA"/>
    <w:rsid w:val="00FA01FC"/>
    <w:rsid w:val="00FA0A33"/>
    <w:rsid w:val="00FA1570"/>
    <w:rsid w:val="00FA18BB"/>
    <w:rsid w:val="00FA1AFD"/>
    <w:rsid w:val="00FA1BD6"/>
    <w:rsid w:val="00FA2A43"/>
    <w:rsid w:val="00FA2FD6"/>
    <w:rsid w:val="00FA330F"/>
    <w:rsid w:val="00FA332D"/>
    <w:rsid w:val="00FA386B"/>
    <w:rsid w:val="00FA49BB"/>
    <w:rsid w:val="00FA590D"/>
    <w:rsid w:val="00FA6ACB"/>
    <w:rsid w:val="00FA7A0C"/>
    <w:rsid w:val="00FA7D1C"/>
    <w:rsid w:val="00FB01D1"/>
    <w:rsid w:val="00FB01EB"/>
    <w:rsid w:val="00FB0F5C"/>
    <w:rsid w:val="00FB1C34"/>
    <w:rsid w:val="00FB1D43"/>
    <w:rsid w:val="00FB1E3C"/>
    <w:rsid w:val="00FB2783"/>
    <w:rsid w:val="00FB283E"/>
    <w:rsid w:val="00FB3133"/>
    <w:rsid w:val="00FB37CD"/>
    <w:rsid w:val="00FB3C98"/>
    <w:rsid w:val="00FB4B28"/>
    <w:rsid w:val="00FB519D"/>
    <w:rsid w:val="00FB54AC"/>
    <w:rsid w:val="00FB6F4C"/>
    <w:rsid w:val="00FB71D1"/>
    <w:rsid w:val="00FB7221"/>
    <w:rsid w:val="00FB75AB"/>
    <w:rsid w:val="00FC0569"/>
    <w:rsid w:val="00FC154D"/>
    <w:rsid w:val="00FC1A71"/>
    <w:rsid w:val="00FC1D4E"/>
    <w:rsid w:val="00FC2319"/>
    <w:rsid w:val="00FC2B98"/>
    <w:rsid w:val="00FC2F8C"/>
    <w:rsid w:val="00FC396C"/>
    <w:rsid w:val="00FC398B"/>
    <w:rsid w:val="00FC581F"/>
    <w:rsid w:val="00FC5E76"/>
    <w:rsid w:val="00FC706B"/>
    <w:rsid w:val="00FC7398"/>
    <w:rsid w:val="00FC79D8"/>
    <w:rsid w:val="00FD0AB4"/>
    <w:rsid w:val="00FD1345"/>
    <w:rsid w:val="00FD13D8"/>
    <w:rsid w:val="00FD166D"/>
    <w:rsid w:val="00FD1B67"/>
    <w:rsid w:val="00FD2725"/>
    <w:rsid w:val="00FD2A97"/>
    <w:rsid w:val="00FD2C03"/>
    <w:rsid w:val="00FD2DD1"/>
    <w:rsid w:val="00FD33EA"/>
    <w:rsid w:val="00FD4258"/>
    <w:rsid w:val="00FD4848"/>
    <w:rsid w:val="00FD4F87"/>
    <w:rsid w:val="00FD50BF"/>
    <w:rsid w:val="00FD5134"/>
    <w:rsid w:val="00FD519A"/>
    <w:rsid w:val="00FD54CB"/>
    <w:rsid w:val="00FD5777"/>
    <w:rsid w:val="00FD60B2"/>
    <w:rsid w:val="00FD6316"/>
    <w:rsid w:val="00FD6681"/>
    <w:rsid w:val="00FD77C0"/>
    <w:rsid w:val="00FD7E28"/>
    <w:rsid w:val="00FE01D8"/>
    <w:rsid w:val="00FE048D"/>
    <w:rsid w:val="00FE07C7"/>
    <w:rsid w:val="00FE1447"/>
    <w:rsid w:val="00FE153B"/>
    <w:rsid w:val="00FE1E86"/>
    <w:rsid w:val="00FE2220"/>
    <w:rsid w:val="00FE24D6"/>
    <w:rsid w:val="00FE25D7"/>
    <w:rsid w:val="00FE264E"/>
    <w:rsid w:val="00FE28CE"/>
    <w:rsid w:val="00FE2C80"/>
    <w:rsid w:val="00FE2D13"/>
    <w:rsid w:val="00FE36F4"/>
    <w:rsid w:val="00FE3BB6"/>
    <w:rsid w:val="00FE3CFE"/>
    <w:rsid w:val="00FE42C1"/>
    <w:rsid w:val="00FE4F50"/>
    <w:rsid w:val="00FE527E"/>
    <w:rsid w:val="00FE537A"/>
    <w:rsid w:val="00FE5A93"/>
    <w:rsid w:val="00FE5FA8"/>
    <w:rsid w:val="00FE6679"/>
    <w:rsid w:val="00FE6B8D"/>
    <w:rsid w:val="00FE6E82"/>
    <w:rsid w:val="00FE795D"/>
    <w:rsid w:val="00FF003C"/>
    <w:rsid w:val="00FF0BEC"/>
    <w:rsid w:val="00FF0D08"/>
    <w:rsid w:val="00FF0D33"/>
    <w:rsid w:val="00FF100F"/>
    <w:rsid w:val="00FF146F"/>
    <w:rsid w:val="00FF1D69"/>
    <w:rsid w:val="00FF2436"/>
    <w:rsid w:val="00FF254C"/>
    <w:rsid w:val="00FF26B9"/>
    <w:rsid w:val="00FF27F7"/>
    <w:rsid w:val="00FF2A87"/>
    <w:rsid w:val="00FF2FE2"/>
    <w:rsid w:val="00FF3AF5"/>
    <w:rsid w:val="00FF47F3"/>
    <w:rsid w:val="00FF5123"/>
    <w:rsid w:val="00FF578A"/>
    <w:rsid w:val="00FF5823"/>
    <w:rsid w:val="00FF5B75"/>
    <w:rsid w:val="00FF6E3F"/>
    <w:rsid w:val="00FF74D7"/>
    <w:rsid w:val="00FF76C9"/>
    <w:rsid w:val="00FF7E9D"/>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9cf" strokecolor="navy">
      <v:fill color="#9cf" opacity="19005f"/>
      <v:stroke color="navy" weight="0" insetpen="t">
        <o:left v:ext="view" color="navy" insetpen="t"/>
        <o:top v:ext="view" color="navy" insetpen="t"/>
        <o:right v:ext="view" color="navy" insetpen="t"/>
        <o:bottom v:ext="view" color="navy" insetpen="t"/>
      </v:stroke>
      <v:shadow color="#ccc"/>
      <v:textbox style="mso-column-margin:2mm" inset="2.88pt,2.88pt,2.88pt,2.88pt"/>
      <o:colormru v:ext="edit" colors="#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528"/>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0144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07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079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D63949"/>
    <w:pPr>
      <w:keepNext/>
      <w:keepLines/>
      <w:spacing w:before="200" w:after="0" w:line="240" w:lineRule="auto"/>
      <w:outlineLvl w:val="4"/>
    </w:pPr>
    <w:rPr>
      <w:rFonts w:ascii="Cambria" w:hAnsi="Cambria"/>
      <w:color w:val="243F60"/>
      <w:sz w:val="24"/>
      <w:szCs w:val="24"/>
      <w:lang w:val="x-none" w:eastAsia="en-GB"/>
    </w:rPr>
  </w:style>
  <w:style w:type="paragraph" w:styleId="Heading7">
    <w:name w:val="heading 7"/>
    <w:basedOn w:val="Normal"/>
    <w:next w:val="Normal"/>
    <w:link w:val="Heading7Char"/>
    <w:qFormat/>
    <w:rsid w:val="00D63949"/>
    <w:pPr>
      <w:keepNext/>
      <w:shd w:val="pct5" w:color="auto" w:fill="auto"/>
      <w:spacing w:after="0" w:line="240" w:lineRule="auto"/>
      <w:outlineLvl w:val="6"/>
    </w:pPr>
    <w:rPr>
      <w:rFonts w:ascii="Arial" w:hAnsi="Arial"/>
      <w:b/>
      <w:sz w:val="20"/>
      <w:szCs w:val="20"/>
      <w:lang w:eastAsia="en-GB"/>
    </w:rPr>
  </w:style>
  <w:style w:type="paragraph" w:styleId="Heading8">
    <w:name w:val="heading 8"/>
    <w:basedOn w:val="Normal"/>
    <w:next w:val="Normal"/>
    <w:link w:val="Heading8Char"/>
    <w:qFormat/>
    <w:rsid w:val="00D63949"/>
    <w:pPr>
      <w:keepNext/>
      <w:spacing w:after="0" w:line="240" w:lineRule="auto"/>
      <w:outlineLvl w:val="7"/>
    </w:pPr>
    <w:rPr>
      <w:rFonts w:ascii="Arial" w:hAnsi="Arial"/>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112E1"/>
    <w:pPr>
      <w:tabs>
        <w:tab w:val="left" w:pos="440"/>
        <w:tab w:val="right" w:leader="dot" w:pos="9274"/>
      </w:tabs>
      <w:spacing w:after="0" w:line="240" w:lineRule="auto"/>
    </w:pPr>
    <w:rPr>
      <w:rFonts w:ascii="Arial" w:hAnsi="Arial" w:cs="Arial"/>
      <w:b/>
      <w:noProof/>
      <w:color w:val="002060"/>
      <w:sz w:val="24"/>
      <w:szCs w:val="24"/>
      <w:lang w:val="en-GB"/>
    </w:rPr>
  </w:style>
  <w:style w:type="character" w:styleId="Hyperlink">
    <w:name w:val="Hyperlink"/>
    <w:rsid w:val="00014446"/>
    <w:rPr>
      <w:color w:val="0000FF"/>
      <w:u w:val="single"/>
    </w:rPr>
  </w:style>
  <w:style w:type="paragraph" w:styleId="ListParagraph">
    <w:name w:val="List Paragraph"/>
    <w:basedOn w:val="Normal"/>
    <w:link w:val="ListParagraphChar"/>
    <w:uiPriority w:val="34"/>
    <w:qFormat/>
    <w:rsid w:val="00DF682C"/>
    <w:pPr>
      <w:spacing w:after="0" w:line="240" w:lineRule="auto"/>
      <w:ind w:left="720"/>
      <w:contextualSpacing/>
    </w:pPr>
    <w:rPr>
      <w:rFonts w:ascii="Times New Roman" w:hAnsi="Times New Roman"/>
      <w:sz w:val="24"/>
      <w:szCs w:val="24"/>
      <w:lang w:val="en-GB" w:eastAsia="en-GB"/>
    </w:rPr>
  </w:style>
  <w:style w:type="paragraph" w:styleId="Footer">
    <w:name w:val="footer"/>
    <w:basedOn w:val="Normal"/>
    <w:link w:val="FooterChar"/>
    <w:uiPriority w:val="99"/>
    <w:rsid w:val="003B493D"/>
    <w:pPr>
      <w:tabs>
        <w:tab w:val="center" w:pos="4153"/>
        <w:tab w:val="right" w:pos="8306"/>
      </w:tabs>
    </w:pPr>
  </w:style>
  <w:style w:type="character" w:styleId="PageNumber">
    <w:name w:val="page number"/>
    <w:basedOn w:val="DefaultParagraphFont"/>
    <w:rsid w:val="003B493D"/>
  </w:style>
  <w:style w:type="character" w:styleId="FollowedHyperlink">
    <w:name w:val="FollowedHyperlink"/>
    <w:rsid w:val="009D7791"/>
    <w:rPr>
      <w:color w:val="800080"/>
      <w:u w:val="single"/>
    </w:rPr>
  </w:style>
  <w:style w:type="paragraph" w:styleId="Header">
    <w:name w:val="header"/>
    <w:basedOn w:val="Normal"/>
    <w:link w:val="HeaderChar"/>
    <w:uiPriority w:val="99"/>
    <w:rsid w:val="00B844F6"/>
    <w:pPr>
      <w:tabs>
        <w:tab w:val="center" w:pos="4153"/>
        <w:tab w:val="right" w:pos="8306"/>
      </w:tabs>
    </w:pPr>
  </w:style>
  <w:style w:type="paragraph" w:styleId="TOC2">
    <w:name w:val="toc 2"/>
    <w:basedOn w:val="Normal"/>
    <w:next w:val="Normal"/>
    <w:autoRedefine/>
    <w:uiPriority w:val="39"/>
    <w:rsid w:val="00A8219A"/>
    <w:pPr>
      <w:tabs>
        <w:tab w:val="right" w:leader="dot" w:pos="9274"/>
      </w:tabs>
      <w:ind w:left="220" w:firstLine="206"/>
    </w:pPr>
  </w:style>
  <w:style w:type="paragraph" w:styleId="TOC3">
    <w:name w:val="toc 3"/>
    <w:basedOn w:val="Normal"/>
    <w:next w:val="Normal"/>
    <w:autoRedefine/>
    <w:semiHidden/>
    <w:rsid w:val="00F30797"/>
    <w:pPr>
      <w:ind w:left="440"/>
    </w:pPr>
  </w:style>
  <w:style w:type="table" w:styleId="TableGrid">
    <w:name w:val="Table Grid"/>
    <w:basedOn w:val="TableNormal"/>
    <w:uiPriority w:val="59"/>
    <w:rsid w:val="00C9138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587D"/>
    <w:pPr>
      <w:spacing w:before="100" w:beforeAutospacing="1" w:after="100" w:afterAutospacing="1" w:line="240" w:lineRule="auto"/>
    </w:pPr>
    <w:rPr>
      <w:rFonts w:ascii="Times New Roman" w:hAnsi="Times New Roman"/>
      <w:sz w:val="24"/>
      <w:szCs w:val="24"/>
      <w:lang w:val="en-GB" w:eastAsia="en-GB"/>
    </w:rPr>
  </w:style>
  <w:style w:type="character" w:customStyle="1" w:styleId="spellingerror">
    <w:name w:val="spellingerror"/>
    <w:basedOn w:val="DefaultParagraphFont"/>
    <w:rsid w:val="00E1587D"/>
  </w:style>
  <w:style w:type="paragraph" w:customStyle="1" w:styleId="Default">
    <w:name w:val="Default"/>
    <w:rsid w:val="00E338B7"/>
    <w:pPr>
      <w:autoSpaceDE w:val="0"/>
      <w:autoSpaceDN w:val="0"/>
      <w:adjustRightInd w:val="0"/>
    </w:pPr>
    <w:rPr>
      <w:rFonts w:ascii="Arial" w:hAnsi="Arial" w:cs="Arial"/>
      <w:color w:val="000000"/>
      <w:sz w:val="24"/>
      <w:szCs w:val="24"/>
    </w:rPr>
  </w:style>
  <w:style w:type="character" w:styleId="CommentReference">
    <w:name w:val="annotation reference"/>
    <w:rsid w:val="00680892"/>
    <w:rPr>
      <w:sz w:val="16"/>
      <w:szCs w:val="16"/>
    </w:rPr>
  </w:style>
  <w:style w:type="paragraph" w:styleId="CommentText">
    <w:name w:val="annotation text"/>
    <w:basedOn w:val="Normal"/>
    <w:link w:val="CommentTextChar"/>
    <w:rsid w:val="00680892"/>
    <w:rPr>
      <w:sz w:val="20"/>
      <w:szCs w:val="20"/>
    </w:rPr>
  </w:style>
  <w:style w:type="character" w:customStyle="1" w:styleId="CommentTextChar">
    <w:name w:val="Comment Text Char"/>
    <w:link w:val="CommentText"/>
    <w:rsid w:val="00680892"/>
    <w:rPr>
      <w:rFonts w:ascii="Calibri" w:hAnsi="Calibri"/>
      <w:lang w:val="en-US" w:eastAsia="en-US" w:bidi="ar-SA"/>
    </w:rPr>
  </w:style>
  <w:style w:type="paragraph" w:styleId="BalloonText">
    <w:name w:val="Balloon Text"/>
    <w:basedOn w:val="Normal"/>
    <w:link w:val="BalloonTextChar"/>
    <w:uiPriority w:val="99"/>
    <w:semiHidden/>
    <w:rsid w:val="00680892"/>
    <w:rPr>
      <w:rFonts w:ascii="Tahoma" w:hAnsi="Tahoma" w:cs="Tahoma"/>
      <w:sz w:val="16"/>
      <w:szCs w:val="16"/>
    </w:rPr>
  </w:style>
  <w:style w:type="paragraph" w:styleId="BodyTextIndent3">
    <w:name w:val="Body Text Indent 3"/>
    <w:basedOn w:val="Normal"/>
    <w:link w:val="BodyTextIndent3Char"/>
    <w:rsid w:val="003F7C65"/>
    <w:pPr>
      <w:spacing w:after="120" w:line="240" w:lineRule="auto"/>
      <w:ind w:left="283"/>
    </w:pPr>
    <w:rPr>
      <w:rFonts w:ascii="Times New Roman" w:eastAsia="Calibri" w:hAnsi="Times New Roman"/>
      <w:sz w:val="16"/>
      <w:szCs w:val="16"/>
      <w:lang w:val="en-GB" w:eastAsia="en-GB"/>
    </w:rPr>
  </w:style>
  <w:style w:type="character" w:customStyle="1" w:styleId="BodyTextIndent3Char">
    <w:name w:val="Body Text Indent 3 Char"/>
    <w:link w:val="BodyTextIndent3"/>
    <w:locked/>
    <w:rsid w:val="003F7C65"/>
    <w:rPr>
      <w:rFonts w:eastAsia="Calibri"/>
      <w:sz w:val="16"/>
      <w:szCs w:val="16"/>
      <w:lang w:val="en-GB" w:eastAsia="en-GB" w:bidi="ar-SA"/>
    </w:rPr>
  </w:style>
  <w:style w:type="paragraph" w:styleId="BodyTextIndent2">
    <w:name w:val="Body Text Indent 2"/>
    <w:basedOn w:val="Normal"/>
    <w:rsid w:val="003F7C65"/>
    <w:pPr>
      <w:spacing w:after="120" w:line="480" w:lineRule="auto"/>
      <w:ind w:left="283"/>
    </w:pPr>
  </w:style>
  <w:style w:type="paragraph" w:customStyle="1" w:styleId="msolistparagraph0">
    <w:name w:val="msolistparagraph"/>
    <w:basedOn w:val="Normal"/>
    <w:rsid w:val="003F7C65"/>
    <w:pPr>
      <w:spacing w:after="0" w:line="240" w:lineRule="auto"/>
      <w:ind w:left="720"/>
    </w:pPr>
    <w:rPr>
      <w:sz w:val="20"/>
      <w:szCs w:val="20"/>
    </w:rPr>
  </w:style>
  <w:style w:type="paragraph" w:styleId="BodyText3">
    <w:name w:val="Body Text 3"/>
    <w:basedOn w:val="Normal"/>
    <w:rsid w:val="00EF5419"/>
    <w:pPr>
      <w:spacing w:after="120"/>
    </w:pPr>
    <w:rPr>
      <w:sz w:val="16"/>
      <w:szCs w:val="16"/>
    </w:rPr>
  </w:style>
  <w:style w:type="paragraph" w:styleId="Revision">
    <w:name w:val="Revision"/>
    <w:hidden/>
    <w:uiPriority w:val="99"/>
    <w:semiHidden/>
    <w:rsid w:val="00F462D7"/>
    <w:rPr>
      <w:rFonts w:ascii="Calibri" w:hAnsi="Calibri"/>
      <w:sz w:val="22"/>
      <w:szCs w:val="22"/>
      <w:lang w:val="en-US" w:eastAsia="en-US"/>
    </w:rPr>
  </w:style>
  <w:style w:type="character" w:customStyle="1" w:styleId="apple-converted-space">
    <w:name w:val="apple-converted-space"/>
    <w:basedOn w:val="DefaultParagraphFont"/>
    <w:rsid w:val="00054366"/>
  </w:style>
  <w:style w:type="paragraph" w:styleId="BodyText">
    <w:name w:val="Body Text"/>
    <w:basedOn w:val="Normal"/>
    <w:link w:val="BodyTextChar"/>
    <w:rsid w:val="000C5485"/>
    <w:pPr>
      <w:spacing w:after="120"/>
    </w:pPr>
  </w:style>
  <w:style w:type="character" w:customStyle="1" w:styleId="BodyTextChar">
    <w:name w:val="Body Text Char"/>
    <w:basedOn w:val="DefaultParagraphFont"/>
    <w:link w:val="BodyText"/>
    <w:rsid w:val="000C5485"/>
    <w:rPr>
      <w:rFonts w:ascii="Calibri" w:hAnsi="Calibri"/>
      <w:sz w:val="22"/>
      <w:szCs w:val="22"/>
      <w:lang w:val="en-US" w:eastAsia="en-US"/>
    </w:rPr>
  </w:style>
  <w:style w:type="character" w:customStyle="1" w:styleId="Heading1Char">
    <w:name w:val="Heading 1 Char"/>
    <w:link w:val="Heading1"/>
    <w:rsid w:val="00852D0C"/>
    <w:rPr>
      <w:rFonts w:ascii="Arial" w:hAnsi="Arial" w:cs="Arial"/>
      <w:b/>
      <w:bCs/>
      <w:kern w:val="32"/>
      <w:sz w:val="32"/>
      <w:szCs w:val="32"/>
      <w:lang w:val="en-US" w:eastAsia="en-US"/>
    </w:rPr>
  </w:style>
  <w:style w:type="table" w:customStyle="1" w:styleId="TableGrid1">
    <w:name w:val="Table Grid1"/>
    <w:basedOn w:val="TableNormal"/>
    <w:next w:val="TableGrid"/>
    <w:uiPriority w:val="59"/>
    <w:rsid w:val="00852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36136"/>
    <w:pPr>
      <w:spacing w:line="240" w:lineRule="auto"/>
    </w:pPr>
    <w:rPr>
      <w:b/>
      <w:bCs/>
    </w:rPr>
  </w:style>
  <w:style w:type="character" w:customStyle="1" w:styleId="CommentSubjectChar">
    <w:name w:val="Comment Subject Char"/>
    <w:basedOn w:val="CommentTextChar"/>
    <w:link w:val="CommentSubject"/>
    <w:rsid w:val="00536136"/>
    <w:rPr>
      <w:rFonts w:ascii="Calibri" w:hAnsi="Calibri"/>
      <w:b/>
      <w:bCs/>
      <w:lang w:val="en-US" w:eastAsia="en-US" w:bidi="ar-SA"/>
    </w:rPr>
  </w:style>
  <w:style w:type="character" w:customStyle="1" w:styleId="Heading5Char">
    <w:name w:val="Heading 5 Char"/>
    <w:basedOn w:val="DefaultParagraphFont"/>
    <w:link w:val="Heading5"/>
    <w:uiPriority w:val="9"/>
    <w:rsid w:val="00D63949"/>
    <w:rPr>
      <w:rFonts w:ascii="Cambria" w:hAnsi="Cambria"/>
      <w:color w:val="243F60"/>
      <w:sz w:val="24"/>
      <w:szCs w:val="24"/>
      <w:lang w:val="x-none"/>
    </w:rPr>
  </w:style>
  <w:style w:type="character" w:customStyle="1" w:styleId="Heading7Char">
    <w:name w:val="Heading 7 Char"/>
    <w:basedOn w:val="DefaultParagraphFont"/>
    <w:link w:val="Heading7"/>
    <w:rsid w:val="00D63949"/>
    <w:rPr>
      <w:rFonts w:ascii="Arial" w:hAnsi="Arial"/>
      <w:b/>
      <w:shd w:val="pct5" w:color="auto" w:fill="auto"/>
      <w:lang w:val="en-US"/>
    </w:rPr>
  </w:style>
  <w:style w:type="character" w:customStyle="1" w:styleId="Heading8Char">
    <w:name w:val="Heading 8 Char"/>
    <w:basedOn w:val="DefaultParagraphFont"/>
    <w:link w:val="Heading8"/>
    <w:rsid w:val="00D63949"/>
    <w:rPr>
      <w:rFonts w:ascii="Arial" w:hAnsi="Arial"/>
      <w:i/>
      <w:lang w:val="en-US"/>
    </w:rPr>
  </w:style>
  <w:style w:type="paragraph" w:styleId="NoSpacing">
    <w:name w:val="No Spacing"/>
    <w:link w:val="NoSpacingChar"/>
    <w:uiPriority w:val="1"/>
    <w:qFormat/>
    <w:rsid w:val="00D63949"/>
    <w:rPr>
      <w:rFonts w:ascii="Calibri" w:hAnsi="Calibri"/>
      <w:sz w:val="22"/>
      <w:szCs w:val="22"/>
      <w:lang w:val="en-US" w:eastAsia="en-US"/>
    </w:rPr>
  </w:style>
  <w:style w:type="character" w:customStyle="1" w:styleId="NoSpacingChar">
    <w:name w:val="No Spacing Char"/>
    <w:link w:val="NoSpacing"/>
    <w:uiPriority w:val="1"/>
    <w:rsid w:val="00D63949"/>
    <w:rPr>
      <w:rFonts w:ascii="Calibri" w:hAnsi="Calibri"/>
      <w:sz w:val="22"/>
      <w:szCs w:val="22"/>
      <w:lang w:val="en-US" w:eastAsia="en-US"/>
    </w:rPr>
  </w:style>
  <w:style w:type="character" w:customStyle="1" w:styleId="BalloonTextChar">
    <w:name w:val="Balloon Text Char"/>
    <w:link w:val="BalloonText"/>
    <w:uiPriority w:val="99"/>
    <w:semiHidden/>
    <w:rsid w:val="00D63949"/>
    <w:rPr>
      <w:rFonts w:ascii="Tahoma" w:hAnsi="Tahoma" w:cs="Tahoma"/>
      <w:sz w:val="16"/>
      <w:szCs w:val="16"/>
      <w:lang w:val="en-US" w:eastAsia="en-US"/>
    </w:rPr>
  </w:style>
  <w:style w:type="paragraph" w:styleId="BodyTextIndent">
    <w:name w:val="Body Text Indent"/>
    <w:basedOn w:val="Normal"/>
    <w:link w:val="BodyTextIndentChar"/>
    <w:rsid w:val="00D63949"/>
    <w:pPr>
      <w:spacing w:after="0" w:line="240" w:lineRule="auto"/>
      <w:ind w:left="720"/>
    </w:pPr>
    <w:rPr>
      <w:rFonts w:ascii="Arial" w:hAnsi="Arial"/>
      <w:sz w:val="20"/>
      <w:szCs w:val="20"/>
      <w:lang w:val="x-none" w:eastAsia="en-GB"/>
    </w:rPr>
  </w:style>
  <w:style w:type="character" w:customStyle="1" w:styleId="BodyTextIndentChar">
    <w:name w:val="Body Text Indent Char"/>
    <w:basedOn w:val="DefaultParagraphFont"/>
    <w:link w:val="BodyTextIndent"/>
    <w:rsid w:val="00D63949"/>
    <w:rPr>
      <w:rFonts w:ascii="Arial" w:hAnsi="Arial"/>
      <w:lang w:val="x-none"/>
    </w:rPr>
  </w:style>
  <w:style w:type="paragraph" w:customStyle="1" w:styleId="Heading10">
    <w:name w:val="Heading 10"/>
    <w:basedOn w:val="Heading8"/>
    <w:rsid w:val="00D63949"/>
    <w:pPr>
      <w:pBdr>
        <w:top w:val="single" w:sz="4" w:space="1" w:color="auto"/>
        <w:left w:val="single" w:sz="4" w:space="4" w:color="auto"/>
        <w:bottom w:val="single" w:sz="4" w:space="1" w:color="auto"/>
        <w:right w:val="single" w:sz="4" w:space="4" w:color="auto"/>
      </w:pBdr>
      <w:shd w:val="pct30" w:color="auto" w:fill="FFFFFF"/>
      <w:ind w:left="709" w:hanging="709"/>
    </w:pPr>
    <w:rPr>
      <w:b/>
      <w:i w:val="0"/>
    </w:rPr>
  </w:style>
  <w:style w:type="character" w:customStyle="1" w:styleId="HeaderChar">
    <w:name w:val="Header Char"/>
    <w:link w:val="Header"/>
    <w:uiPriority w:val="99"/>
    <w:rsid w:val="00D63949"/>
    <w:rPr>
      <w:rFonts w:ascii="Calibri" w:hAnsi="Calibri"/>
      <w:sz w:val="22"/>
      <w:szCs w:val="22"/>
      <w:lang w:val="en-US" w:eastAsia="en-US"/>
    </w:rPr>
  </w:style>
  <w:style w:type="character" w:customStyle="1" w:styleId="FooterChar">
    <w:name w:val="Footer Char"/>
    <w:link w:val="Footer"/>
    <w:uiPriority w:val="99"/>
    <w:rsid w:val="00D63949"/>
    <w:rPr>
      <w:rFonts w:ascii="Calibri" w:hAnsi="Calibri"/>
      <w:sz w:val="22"/>
      <w:szCs w:val="22"/>
      <w:lang w:val="en-US" w:eastAsia="en-US"/>
    </w:rPr>
  </w:style>
  <w:style w:type="paragraph" w:styleId="BodyText2">
    <w:name w:val="Body Text 2"/>
    <w:basedOn w:val="Normal"/>
    <w:link w:val="BodyText2Char"/>
    <w:uiPriority w:val="99"/>
    <w:unhideWhenUsed/>
    <w:rsid w:val="00D63949"/>
    <w:pPr>
      <w:spacing w:after="120" w:line="480" w:lineRule="auto"/>
    </w:pPr>
    <w:rPr>
      <w:rFonts w:ascii="Times New Roman" w:hAnsi="Times New Roman"/>
      <w:sz w:val="24"/>
      <w:szCs w:val="24"/>
      <w:lang w:val="x-none" w:eastAsia="en-GB"/>
    </w:rPr>
  </w:style>
  <w:style w:type="character" w:customStyle="1" w:styleId="BodyText2Char">
    <w:name w:val="Body Text 2 Char"/>
    <w:basedOn w:val="DefaultParagraphFont"/>
    <w:link w:val="BodyText2"/>
    <w:uiPriority w:val="99"/>
    <w:rsid w:val="00D63949"/>
    <w:rPr>
      <w:sz w:val="24"/>
      <w:szCs w:val="24"/>
      <w:lang w:val="x-none"/>
    </w:rPr>
  </w:style>
  <w:style w:type="paragraph" w:customStyle="1" w:styleId="Heading12">
    <w:name w:val="Heading 12"/>
    <w:basedOn w:val="Normal"/>
    <w:rsid w:val="00D63949"/>
    <w:pPr>
      <w:autoSpaceDE w:val="0"/>
      <w:autoSpaceDN w:val="0"/>
      <w:adjustRightInd w:val="0"/>
      <w:spacing w:after="0" w:line="240" w:lineRule="auto"/>
      <w:ind w:left="709" w:hanging="709"/>
    </w:pPr>
    <w:rPr>
      <w:rFonts w:ascii="Arial" w:hAnsi="Arial"/>
      <w:b/>
      <w:szCs w:val="20"/>
      <w:lang w:eastAsia="en-GB"/>
    </w:rPr>
  </w:style>
  <w:style w:type="paragraph" w:customStyle="1" w:styleId="Heading11">
    <w:name w:val="Heading 11"/>
    <w:basedOn w:val="Heading5"/>
    <w:next w:val="BodyText2"/>
    <w:rsid w:val="00D63949"/>
    <w:pPr>
      <w:keepLines w:val="0"/>
      <w:pBdr>
        <w:bottom w:val="single" w:sz="4" w:space="1" w:color="auto"/>
      </w:pBdr>
      <w:autoSpaceDE w:val="0"/>
      <w:autoSpaceDN w:val="0"/>
      <w:adjustRightInd w:val="0"/>
      <w:spacing w:before="0"/>
      <w:ind w:left="709" w:hanging="709"/>
    </w:pPr>
    <w:rPr>
      <w:rFonts w:ascii="Arial" w:hAnsi="Arial"/>
      <w:b/>
      <w:color w:val="auto"/>
      <w:sz w:val="22"/>
      <w:szCs w:val="20"/>
      <w:lang w:val="en-US"/>
    </w:rPr>
  </w:style>
  <w:style w:type="paragraph" w:styleId="FootnoteText">
    <w:name w:val="footnote text"/>
    <w:basedOn w:val="Normal"/>
    <w:link w:val="FootnoteTextChar"/>
    <w:rsid w:val="00D63949"/>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rsid w:val="00D63949"/>
  </w:style>
  <w:style w:type="character" w:styleId="FootnoteReference">
    <w:name w:val="footnote reference"/>
    <w:rsid w:val="00D63949"/>
    <w:rPr>
      <w:vertAlign w:val="superscript"/>
    </w:rPr>
  </w:style>
  <w:style w:type="paragraph" w:styleId="BlockText">
    <w:name w:val="Block Text"/>
    <w:basedOn w:val="Normal"/>
    <w:rsid w:val="00D63949"/>
    <w:pPr>
      <w:tabs>
        <w:tab w:val="left" w:pos="9072"/>
      </w:tabs>
      <w:spacing w:after="0" w:line="240" w:lineRule="auto"/>
      <w:ind w:left="-142" w:right="687"/>
    </w:pPr>
    <w:rPr>
      <w:rFonts w:ascii="Arial" w:hAnsi="Arial"/>
      <w:sz w:val="24"/>
      <w:szCs w:val="20"/>
      <w:lang w:val="en-GB"/>
    </w:rPr>
  </w:style>
  <w:style w:type="paragraph" w:styleId="DocumentMap">
    <w:name w:val="Document Map"/>
    <w:basedOn w:val="Normal"/>
    <w:link w:val="DocumentMapChar"/>
    <w:rsid w:val="00D63949"/>
    <w:pPr>
      <w:shd w:val="clear" w:color="auto" w:fill="000080"/>
      <w:spacing w:after="0" w:line="240" w:lineRule="auto"/>
    </w:pPr>
    <w:rPr>
      <w:rFonts w:ascii="Tahoma" w:hAnsi="Tahoma" w:cs="Tahoma"/>
      <w:sz w:val="20"/>
      <w:szCs w:val="20"/>
      <w:lang w:val="en-GB" w:eastAsia="en-GB"/>
    </w:rPr>
  </w:style>
  <w:style w:type="character" w:customStyle="1" w:styleId="DocumentMapChar">
    <w:name w:val="Document Map Char"/>
    <w:basedOn w:val="DefaultParagraphFont"/>
    <w:link w:val="DocumentMap"/>
    <w:rsid w:val="00D63949"/>
    <w:rPr>
      <w:rFonts w:ascii="Tahoma" w:hAnsi="Tahoma" w:cs="Tahoma"/>
      <w:shd w:val="clear" w:color="auto" w:fill="000080"/>
    </w:rPr>
  </w:style>
  <w:style w:type="character" w:customStyle="1" w:styleId="ListParagraphChar">
    <w:name w:val="List Paragraph Char"/>
    <w:link w:val="ListParagraph"/>
    <w:uiPriority w:val="34"/>
    <w:locked/>
    <w:rsid w:val="00474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528"/>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0144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07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079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D63949"/>
    <w:pPr>
      <w:keepNext/>
      <w:keepLines/>
      <w:spacing w:before="200" w:after="0" w:line="240" w:lineRule="auto"/>
      <w:outlineLvl w:val="4"/>
    </w:pPr>
    <w:rPr>
      <w:rFonts w:ascii="Cambria" w:hAnsi="Cambria"/>
      <w:color w:val="243F60"/>
      <w:sz w:val="24"/>
      <w:szCs w:val="24"/>
      <w:lang w:val="x-none" w:eastAsia="en-GB"/>
    </w:rPr>
  </w:style>
  <w:style w:type="paragraph" w:styleId="Heading7">
    <w:name w:val="heading 7"/>
    <w:basedOn w:val="Normal"/>
    <w:next w:val="Normal"/>
    <w:link w:val="Heading7Char"/>
    <w:qFormat/>
    <w:rsid w:val="00D63949"/>
    <w:pPr>
      <w:keepNext/>
      <w:shd w:val="pct5" w:color="auto" w:fill="auto"/>
      <w:spacing w:after="0" w:line="240" w:lineRule="auto"/>
      <w:outlineLvl w:val="6"/>
    </w:pPr>
    <w:rPr>
      <w:rFonts w:ascii="Arial" w:hAnsi="Arial"/>
      <w:b/>
      <w:sz w:val="20"/>
      <w:szCs w:val="20"/>
      <w:lang w:eastAsia="en-GB"/>
    </w:rPr>
  </w:style>
  <w:style w:type="paragraph" w:styleId="Heading8">
    <w:name w:val="heading 8"/>
    <w:basedOn w:val="Normal"/>
    <w:next w:val="Normal"/>
    <w:link w:val="Heading8Char"/>
    <w:qFormat/>
    <w:rsid w:val="00D63949"/>
    <w:pPr>
      <w:keepNext/>
      <w:spacing w:after="0" w:line="240" w:lineRule="auto"/>
      <w:outlineLvl w:val="7"/>
    </w:pPr>
    <w:rPr>
      <w:rFonts w:ascii="Arial" w:hAnsi="Arial"/>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112E1"/>
    <w:pPr>
      <w:tabs>
        <w:tab w:val="left" w:pos="440"/>
        <w:tab w:val="right" w:leader="dot" w:pos="9274"/>
      </w:tabs>
      <w:spacing w:after="0" w:line="240" w:lineRule="auto"/>
    </w:pPr>
    <w:rPr>
      <w:rFonts w:ascii="Arial" w:hAnsi="Arial" w:cs="Arial"/>
      <w:b/>
      <w:noProof/>
      <w:color w:val="002060"/>
      <w:sz w:val="24"/>
      <w:szCs w:val="24"/>
      <w:lang w:val="en-GB"/>
    </w:rPr>
  </w:style>
  <w:style w:type="character" w:styleId="Hyperlink">
    <w:name w:val="Hyperlink"/>
    <w:rsid w:val="00014446"/>
    <w:rPr>
      <w:color w:val="0000FF"/>
      <w:u w:val="single"/>
    </w:rPr>
  </w:style>
  <w:style w:type="paragraph" w:styleId="ListParagraph">
    <w:name w:val="List Paragraph"/>
    <w:basedOn w:val="Normal"/>
    <w:link w:val="ListParagraphChar"/>
    <w:uiPriority w:val="34"/>
    <w:qFormat/>
    <w:rsid w:val="00DF682C"/>
    <w:pPr>
      <w:spacing w:after="0" w:line="240" w:lineRule="auto"/>
      <w:ind w:left="720"/>
      <w:contextualSpacing/>
    </w:pPr>
    <w:rPr>
      <w:rFonts w:ascii="Times New Roman" w:hAnsi="Times New Roman"/>
      <w:sz w:val="24"/>
      <w:szCs w:val="24"/>
      <w:lang w:val="en-GB" w:eastAsia="en-GB"/>
    </w:rPr>
  </w:style>
  <w:style w:type="paragraph" w:styleId="Footer">
    <w:name w:val="footer"/>
    <w:basedOn w:val="Normal"/>
    <w:link w:val="FooterChar"/>
    <w:uiPriority w:val="99"/>
    <w:rsid w:val="003B493D"/>
    <w:pPr>
      <w:tabs>
        <w:tab w:val="center" w:pos="4153"/>
        <w:tab w:val="right" w:pos="8306"/>
      </w:tabs>
    </w:pPr>
  </w:style>
  <w:style w:type="character" w:styleId="PageNumber">
    <w:name w:val="page number"/>
    <w:basedOn w:val="DefaultParagraphFont"/>
    <w:rsid w:val="003B493D"/>
  </w:style>
  <w:style w:type="character" w:styleId="FollowedHyperlink">
    <w:name w:val="FollowedHyperlink"/>
    <w:rsid w:val="009D7791"/>
    <w:rPr>
      <w:color w:val="800080"/>
      <w:u w:val="single"/>
    </w:rPr>
  </w:style>
  <w:style w:type="paragraph" w:styleId="Header">
    <w:name w:val="header"/>
    <w:basedOn w:val="Normal"/>
    <w:link w:val="HeaderChar"/>
    <w:uiPriority w:val="99"/>
    <w:rsid w:val="00B844F6"/>
    <w:pPr>
      <w:tabs>
        <w:tab w:val="center" w:pos="4153"/>
        <w:tab w:val="right" w:pos="8306"/>
      </w:tabs>
    </w:pPr>
  </w:style>
  <w:style w:type="paragraph" w:styleId="TOC2">
    <w:name w:val="toc 2"/>
    <w:basedOn w:val="Normal"/>
    <w:next w:val="Normal"/>
    <w:autoRedefine/>
    <w:uiPriority w:val="39"/>
    <w:rsid w:val="00A8219A"/>
    <w:pPr>
      <w:tabs>
        <w:tab w:val="right" w:leader="dot" w:pos="9274"/>
      </w:tabs>
      <w:ind w:left="220" w:firstLine="206"/>
    </w:pPr>
  </w:style>
  <w:style w:type="paragraph" w:styleId="TOC3">
    <w:name w:val="toc 3"/>
    <w:basedOn w:val="Normal"/>
    <w:next w:val="Normal"/>
    <w:autoRedefine/>
    <w:semiHidden/>
    <w:rsid w:val="00F30797"/>
    <w:pPr>
      <w:ind w:left="440"/>
    </w:pPr>
  </w:style>
  <w:style w:type="table" w:styleId="TableGrid">
    <w:name w:val="Table Grid"/>
    <w:basedOn w:val="TableNormal"/>
    <w:uiPriority w:val="59"/>
    <w:rsid w:val="00C9138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587D"/>
    <w:pPr>
      <w:spacing w:before="100" w:beforeAutospacing="1" w:after="100" w:afterAutospacing="1" w:line="240" w:lineRule="auto"/>
    </w:pPr>
    <w:rPr>
      <w:rFonts w:ascii="Times New Roman" w:hAnsi="Times New Roman"/>
      <w:sz w:val="24"/>
      <w:szCs w:val="24"/>
      <w:lang w:val="en-GB" w:eastAsia="en-GB"/>
    </w:rPr>
  </w:style>
  <w:style w:type="character" w:customStyle="1" w:styleId="spellingerror">
    <w:name w:val="spellingerror"/>
    <w:basedOn w:val="DefaultParagraphFont"/>
    <w:rsid w:val="00E1587D"/>
  </w:style>
  <w:style w:type="paragraph" w:customStyle="1" w:styleId="Default">
    <w:name w:val="Default"/>
    <w:rsid w:val="00E338B7"/>
    <w:pPr>
      <w:autoSpaceDE w:val="0"/>
      <w:autoSpaceDN w:val="0"/>
      <w:adjustRightInd w:val="0"/>
    </w:pPr>
    <w:rPr>
      <w:rFonts w:ascii="Arial" w:hAnsi="Arial" w:cs="Arial"/>
      <w:color w:val="000000"/>
      <w:sz w:val="24"/>
      <w:szCs w:val="24"/>
    </w:rPr>
  </w:style>
  <w:style w:type="character" w:styleId="CommentReference">
    <w:name w:val="annotation reference"/>
    <w:rsid w:val="00680892"/>
    <w:rPr>
      <w:sz w:val="16"/>
      <w:szCs w:val="16"/>
    </w:rPr>
  </w:style>
  <w:style w:type="paragraph" w:styleId="CommentText">
    <w:name w:val="annotation text"/>
    <w:basedOn w:val="Normal"/>
    <w:link w:val="CommentTextChar"/>
    <w:rsid w:val="00680892"/>
    <w:rPr>
      <w:sz w:val="20"/>
      <w:szCs w:val="20"/>
    </w:rPr>
  </w:style>
  <w:style w:type="character" w:customStyle="1" w:styleId="CommentTextChar">
    <w:name w:val="Comment Text Char"/>
    <w:link w:val="CommentText"/>
    <w:rsid w:val="00680892"/>
    <w:rPr>
      <w:rFonts w:ascii="Calibri" w:hAnsi="Calibri"/>
      <w:lang w:val="en-US" w:eastAsia="en-US" w:bidi="ar-SA"/>
    </w:rPr>
  </w:style>
  <w:style w:type="paragraph" w:styleId="BalloonText">
    <w:name w:val="Balloon Text"/>
    <w:basedOn w:val="Normal"/>
    <w:link w:val="BalloonTextChar"/>
    <w:uiPriority w:val="99"/>
    <w:semiHidden/>
    <w:rsid w:val="00680892"/>
    <w:rPr>
      <w:rFonts w:ascii="Tahoma" w:hAnsi="Tahoma" w:cs="Tahoma"/>
      <w:sz w:val="16"/>
      <w:szCs w:val="16"/>
    </w:rPr>
  </w:style>
  <w:style w:type="paragraph" w:styleId="BodyTextIndent3">
    <w:name w:val="Body Text Indent 3"/>
    <w:basedOn w:val="Normal"/>
    <w:link w:val="BodyTextIndent3Char"/>
    <w:rsid w:val="003F7C65"/>
    <w:pPr>
      <w:spacing w:after="120" w:line="240" w:lineRule="auto"/>
      <w:ind w:left="283"/>
    </w:pPr>
    <w:rPr>
      <w:rFonts w:ascii="Times New Roman" w:eastAsia="Calibri" w:hAnsi="Times New Roman"/>
      <w:sz w:val="16"/>
      <w:szCs w:val="16"/>
      <w:lang w:val="en-GB" w:eastAsia="en-GB"/>
    </w:rPr>
  </w:style>
  <w:style w:type="character" w:customStyle="1" w:styleId="BodyTextIndent3Char">
    <w:name w:val="Body Text Indent 3 Char"/>
    <w:link w:val="BodyTextIndent3"/>
    <w:locked/>
    <w:rsid w:val="003F7C65"/>
    <w:rPr>
      <w:rFonts w:eastAsia="Calibri"/>
      <w:sz w:val="16"/>
      <w:szCs w:val="16"/>
      <w:lang w:val="en-GB" w:eastAsia="en-GB" w:bidi="ar-SA"/>
    </w:rPr>
  </w:style>
  <w:style w:type="paragraph" w:styleId="BodyTextIndent2">
    <w:name w:val="Body Text Indent 2"/>
    <w:basedOn w:val="Normal"/>
    <w:rsid w:val="003F7C65"/>
    <w:pPr>
      <w:spacing w:after="120" w:line="480" w:lineRule="auto"/>
      <w:ind w:left="283"/>
    </w:pPr>
  </w:style>
  <w:style w:type="paragraph" w:customStyle="1" w:styleId="msolistparagraph0">
    <w:name w:val="msolistparagraph"/>
    <w:basedOn w:val="Normal"/>
    <w:rsid w:val="003F7C65"/>
    <w:pPr>
      <w:spacing w:after="0" w:line="240" w:lineRule="auto"/>
      <w:ind w:left="720"/>
    </w:pPr>
    <w:rPr>
      <w:sz w:val="20"/>
      <w:szCs w:val="20"/>
    </w:rPr>
  </w:style>
  <w:style w:type="paragraph" w:styleId="BodyText3">
    <w:name w:val="Body Text 3"/>
    <w:basedOn w:val="Normal"/>
    <w:rsid w:val="00EF5419"/>
    <w:pPr>
      <w:spacing w:after="120"/>
    </w:pPr>
    <w:rPr>
      <w:sz w:val="16"/>
      <w:szCs w:val="16"/>
    </w:rPr>
  </w:style>
  <w:style w:type="paragraph" w:styleId="Revision">
    <w:name w:val="Revision"/>
    <w:hidden/>
    <w:uiPriority w:val="99"/>
    <w:semiHidden/>
    <w:rsid w:val="00F462D7"/>
    <w:rPr>
      <w:rFonts w:ascii="Calibri" w:hAnsi="Calibri"/>
      <w:sz w:val="22"/>
      <w:szCs w:val="22"/>
      <w:lang w:val="en-US" w:eastAsia="en-US"/>
    </w:rPr>
  </w:style>
  <w:style w:type="character" w:customStyle="1" w:styleId="apple-converted-space">
    <w:name w:val="apple-converted-space"/>
    <w:basedOn w:val="DefaultParagraphFont"/>
    <w:rsid w:val="00054366"/>
  </w:style>
  <w:style w:type="paragraph" w:styleId="BodyText">
    <w:name w:val="Body Text"/>
    <w:basedOn w:val="Normal"/>
    <w:link w:val="BodyTextChar"/>
    <w:rsid w:val="000C5485"/>
    <w:pPr>
      <w:spacing w:after="120"/>
    </w:pPr>
  </w:style>
  <w:style w:type="character" w:customStyle="1" w:styleId="BodyTextChar">
    <w:name w:val="Body Text Char"/>
    <w:basedOn w:val="DefaultParagraphFont"/>
    <w:link w:val="BodyText"/>
    <w:rsid w:val="000C5485"/>
    <w:rPr>
      <w:rFonts w:ascii="Calibri" w:hAnsi="Calibri"/>
      <w:sz w:val="22"/>
      <w:szCs w:val="22"/>
      <w:lang w:val="en-US" w:eastAsia="en-US"/>
    </w:rPr>
  </w:style>
  <w:style w:type="character" w:customStyle="1" w:styleId="Heading1Char">
    <w:name w:val="Heading 1 Char"/>
    <w:link w:val="Heading1"/>
    <w:rsid w:val="00852D0C"/>
    <w:rPr>
      <w:rFonts w:ascii="Arial" w:hAnsi="Arial" w:cs="Arial"/>
      <w:b/>
      <w:bCs/>
      <w:kern w:val="32"/>
      <w:sz w:val="32"/>
      <w:szCs w:val="32"/>
      <w:lang w:val="en-US" w:eastAsia="en-US"/>
    </w:rPr>
  </w:style>
  <w:style w:type="table" w:customStyle="1" w:styleId="TableGrid1">
    <w:name w:val="Table Grid1"/>
    <w:basedOn w:val="TableNormal"/>
    <w:next w:val="TableGrid"/>
    <w:uiPriority w:val="59"/>
    <w:rsid w:val="00852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36136"/>
    <w:pPr>
      <w:spacing w:line="240" w:lineRule="auto"/>
    </w:pPr>
    <w:rPr>
      <w:b/>
      <w:bCs/>
    </w:rPr>
  </w:style>
  <w:style w:type="character" w:customStyle="1" w:styleId="CommentSubjectChar">
    <w:name w:val="Comment Subject Char"/>
    <w:basedOn w:val="CommentTextChar"/>
    <w:link w:val="CommentSubject"/>
    <w:rsid w:val="00536136"/>
    <w:rPr>
      <w:rFonts w:ascii="Calibri" w:hAnsi="Calibri"/>
      <w:b/>
      <w:bCs/>
      <w:lang w:val="en-US" w:eastAsia="en-US" w:bidi="ar-SA"/>
    </w:rPr>
  </w:style>
  <w:style w:type="character" w:customStyle="1" w:styleId="Heading5Char">
    <w:name w:val="Heading 5 Char"/>
    <w:basedOn w:val="DefaultParagraphFont"/>
    <w:link w:val="Heading5"/>
    <w:uiPriority w:val="9"/>
    <w:rsid w:val="00D63949"/>
    <w:rPr>
      <w:rFonts w:ascii="Cambria" w:hAnsi="Cambria"/>
      <w:color w:val="243F60"/>
      <w:sz w:val="24"/>
      <w:szCs w:val="24"/>
      <w:lang w:val="x-none"/>
    </w:rPr>
  </w:style>
  <w:style w:type="character" w:customStyle="1" w:styleId="Heading7Char">
    <w:name w:val="Heading 7 Char"/>
    <w:basedOn w:val="DefaultParagraphFont"/>
    <w:link w:val="Heading7"/>
    <w:rsid w:val="00D63949"/>
    <w:rPr>
      <w:rFonts w:ascii="Arial" w:hAnsi="Arial"/>
      <w:b/>
      <w:shd w:val="pct5" w:color="auto" w:fill="auto"/>
      <w:lang w:val="en-US"/>
    </w:rPr>
  </w:style>
  <w:style w:type="character" w:customStyle="1" w:styleId="Heading8Char">
    <w:name w:val="Heading 8 Char"/>
    <w:basedOn w:val="DefaultParagraphFont"/>
    <w:link w:val="Heading8"/>
    <w:rsid w:val="00D63949"/>
    <w:rPr>
      <w:rFonts w:ascii="Arial" w:hAnsi="Arial"/>
      <w:i/>
      <w:lang w:val="en-US"/>
    </w:rPr>
  </w:style>
  <w:style w:type="paragraph" w:styleId="NoSpacing">
    <w:name w:val="No Spacing"/>
    <w:link w:val="NoSpacingChar"/>
    <w:uiPriority w:val="1"/>
    <w:qFormat/>
    <w:rsid w:val="00D63949"/>
    <w:rPr>
      <w:rFonts w:ascii="Calibri" w:hAnsi="Calibri"/>
      <w:sz w:val="22"/>
      <w:szCs w:val="22"/>
      <w:lang w:val="en-US" w:eastAsia="en-US"/>
    </w:rPr>
  </w:style>
  <w:style w:type="character" w:customStyle="1" w:styleId="NoSpacingChar">
    <w:name w:val="No Spacing Char"/>
    <w:link w:val="NoSpacing"/>
    <w:uiPriority w:val="1"/>
    <w:rsid w:val="00D63949"/>
    <w:rPr>
      <w:rFonts w:ascii="Calibri" w:hAnsi="Calibri"/>
      <w:sz w:val="22"/>
      <w:szCs w:val="22"/>
      <w:lang w:val="en-US" w:eastAsia="en-US"/>
    </w:rPr>
  </w:style>
  <w:style w:type="character" w:customStyle="1" w:styleId="BalloonTextChar">
    <w:name w:val="Balloon Text Char"/>
    <w:link w:val="BalloonText"/>
    <w:uiPriority w:val="99"/>
    <w:semiHidden/>
    <w:rsid w:val="00D63949"/>
    <w:rPr>
      <w:rFonts w:ascii="Tahoma" w:hAnsi="Tahoma" w:cs="Tahoma"/>
      <w:sz w:val="16"/>
      <w:szCs w:val="16"/>
      <w:lang w:val="en-US" w:eastAsia="en-US"/>
    </w:rPr>
  </w:style>
  <w:style w:type="paragraph" w:styleId="BodyTextIndent">
    <w:name w:val="Body Text Indent"/>
    <w:basedOn w:val="Normal"/>
    <w:link w:val="BodyTextIndentChar"/>
    <w:rsid w:val="00D63949"/>
    <w:pPr>
      <w:spacing w:after="0" w:line="240" w:lineRule="auto"/>
      <w:ind w:left="720"/>
    </w:pPr>
    <w:rPr>
      <w:rFonts w:ascii="Arial" w:hAnsi="Arial"/>
      <w:sz w:val="20"/>
      <w:szCs w:val="20"/>
      <w:lang w:val="x-none" w:eastAsia="en-GB"/>
    </w:rPr>
  </w:style>
  <w:style w:type="character" w:customStyle="1" w:styleId="BodyTextIndentChar">
    <w:name w:val="Body Text Indent Char"/>
    <w:basedOn w:val="DefaultParagraphFont"/>
    <w:link w:val="BodyTextIndent"/>
    <w:rsid w:val="00D63949"/>
    <w:rPr>
      <w:rFonts w:ascii="Arial" w:hAnsi="Arial"/>
      <w:lang w:val="x-none"/>
    </w:rPr>
  </w:style>
  <w:style w:type="paragraph" w:customStyle="1" w:styleId="Heading10">
    <w:name w:val="Heading 10"/>
    <w:basedOn w:val="Heading8"/>
    <w:rsid w:val="00D63949"/>
    <w:pPr>
      <w:pBdr>
        <w:top w:val="single" w:sz="4" w:space="1" w:color="auto"/>
        <w:left w:val="single" w:sz="4" w:space="4" w:color="auto"/>
        <w:bottom w:val="single" w:sz="4" w:space="1" w:color="auto"/>
        <w:right w:val="single" w:sz="4" w:space="4" w:color="auto"/>
      </w:pBdr>
      <w:shd w:val="pct30" w:color="auto" w:fill="FFFFFF"/>
      <w:ind w:left="709" w:hanging="709"/>
    </w:pPr>
    <w:rPr>
      <w:b/>
      <w:i w:val="0"/>
    </w:rPr>
  </w:style>
  <w:style w:type="character" w:customStyle="1" w:styleId="HeaderChar">
    <w:name w:val="Header Char"/>
    <w:link w:val="Header"/>
    <w:uiPriority w:val="99"/>
    <w:rsid w:val="00D63949"/>
    <w:rPr>
      <w:rFonts w:ascii="Calibri" w:hAnsi="Calibri"/>
      <w:sz w:val="22"/>
      <w:szCs w:val="22"/>
      <w:lang w:val="en-US" w:eastAsia="en-US"/>
    </w:rPr>
  </w:style>
  <w:style w:type="character" w:customStyle="1" w:styleId="FooterChar">
    <w:name w:val="Footer Char"/>
    <w:link w:val="Footer"/>
    <w:uiPriority w:val="99"/>
    <w:rsid w:val="00D63949"/>
    <w:rPr>
      <w:rFonts w:ascii="Calibri" w:hAnsi="Calibri"/>
      <w:sz w:val="22"/>
      <w:szCs w:val="22"/>
      <w:lang w:val="en-US" w:eastAsia="en-US"/>
    </w:rPr>
  </w:style>
  <w:style w:type="paragraph" w:styleId="BodyText2">
    <w:name w:val="Body Text 2"/>
    <w:basedOn w:val="Normal"/>
    <w:link w:val="BodyText2Char"/>
    <w:uiPriority w:val="99"/>
    <w:unhideWhenUsed/>
    <w:rsid w:val="00D63949"/>
    <w:pPr>
      <w:spacing w:after="120" w:line="480" w:lineRule="auto"/>
    </w:pPr>
    <w:rPr>
      <w:rFonts w:ascii="Times New Roman" w:hAnsi="Times New Roman"/>
      <w:sz w:val="24"/>
      <w:szCs w:val="24"/>
      <w:lang w:val="x-none" w:eastAsia="en-GB"/>
    </w:rPr>
  </w:style>
  <w:style w:type="character" w:customStyle="1" w:styleId="BodyText2Char">
    <w:name w:val="Body Text 2 Char"/>
    <w:basedOn w:val="DefaultParagraphFont"/>
    <w:link w:val="BodyText2"/>
    <w:uiPriority w:val="99"/>
    <w:rsid w:val="00D63949"/>
    <w:rPr>
      <w:sz w:val="24"/>
      <w:szCs w:val="24"/>
      <w:lang w:val="x-none"/>
    </w:rPr>
  </w:style>
  <w:style w:type="paragraph" w:customStyle="1" w:styleId="Heading12">
    <w:name w:val="Heading 12"/>
    <w:basedOn w:val="Normal"/>
    <w:rsid w:val="00D63949"/>
    <w:pPr>
      <w:autoSpaceDE w:val="0"/>
      <w:autoSpaceDN w:val="0"/>
      <w:adjustRightInd w:val="0"/>
      <w:spacing w:after="0" w:line="240" w:lineRule="auto"/>
      <w:ind w:left="709" w:hanging="709"/>
    </w:pPr>
    <w:rPr>
      <w:rFonts w:ascii="Arial" w:hAnsi="Arial"/>
      <w:b/>
      <w:szCs w:val="20"/>
      <w:lang w:eastAsia="en-GB"/>
    </w:rPr>
  </w:style>
  <w:style w:type="paragraph" w:customStyle="1" w:styleId="Heading11">
    <w:name w:val="Heading 11"/>
    <w:basedOn w:val="Heading5"/>
    <w:next w:val="BodyText2"/>
    <w:rsid w:val="00D63949"/>
    <w:pPr>
      <w:keepLines w:val="0"/>
      <w:pBdr>
        <w:bottom w:val="single" w:sz="4" w:space="1" w:color="auto"/>
      </w:pBdr>
      <w:autoSpaceDE w:val="0"/>
      <w:autoSpaceDN w:val="0"/>
      <w:adjustRightInd w:val="0"/>
      <w:spacing w:before="0"/>
      <w:ind w:left="709" w:hanging="709"/>
    </w:pPr>
    <w:rPr>
      <w:rFonts w:ascii="Arial" w:hAnsi="Arial"/>
      <w:b/>
      <w:color w:val="auto"/>
      <w:sz w:val="22"/>
      <w:szCs w:val="20"/>
      <w:lang w:val="en-US"/>
    </w:rPr>
  </w:style>
  <w:style w:type="paragraph" w:styleId="FootnoteText">
    <w:name w:val="footnote text"/>
    <w:basedOn w:val="Normal"/>
    <w:link w:val="FootnoteTextChar"/>
    <w:rsid w:val="00D63949"/>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rsid w:val="00D63949"/>
  </w:style>
  <w:style w:type="character" w:styleId="FootnoteReference">
    <w:name w:val="footnote reference"/>
    <w:rsid w:val="00D63949"/>
    <w:rPr>
      <w:vertAlign w:val="superscript"/>
    </w:rPr>
  </w:style>
  <w:style w:type="paragraph" w:styleId="BlockText">
    <w:name w:val="Block Text"/>
    <w:basedOn w:val="Normal"/>
    <w:rsid w:val="00D63949"/>
    <w:pPr>
      <w:tabs>
        <w:tab w:val="left" w:pos="9072"/>
      </w:tabs>
      <w:spacing w:after="0" w:line="240" w:lineRule="auto"/>
      <w:ind w:left="-142" w:right="687"/>
    </w:pPr>
    <w:rPr>
      <w:rFonts w:ascii="Arial" w:hAnsi="Arial"/>
      <w:sz w:val="24"/>
      <w:szCs w:val="20"/>
      <w:lang w:val="en-GB"/>
    </w:rPr>
  </w:style>
  <w:style w:type="paragraph" w:styleId="DocumentMap">
    <w:name w:val="Document Map"/>
    <w:basedOn w:val="Normal"/>
    <w:link w:val="DocumentMapChar"/>
    <w:rsid w:val="00D63949"/>
    <w:pPr>
      <w:shd w:val="clear" w:color="auto" w:fill="000080"/>
      <w:spacing w:after="0" w:line="240" w:lineRule="auto"/>
    </w:pPr>
    <w:rPr>
      <w:rFonts w:ascii="Tahoma" w:hAnsi="Tahoma" w:cs="Tahoma"/>
      <w:sz w:val="20"/>
      <w:szCs w:val="20"/>
      <w:lang w:val="en-GB" w:eastAsia="en-GB"/>
    </w:rPr>
  </w:style>
  <w:style w:type="character" w:customStyle="1" w:styleId="DocumentMapChar">
    <w:name w:val="Document Map Char"/>
    <w:basedOn w:val="DefaultParagraphFont"/>
    <w:link w:val="DocumentMap"/>
    <w:rsid w:val="00D63949"/>
    <w:rPr>
      <w:rFonts w:ascii="Tahoma" w:hAnsi="Tahoma" w:cs="Tahoma"/>
      <w:shd w:val="clear" w:color="auto" w:fill="000080"/>
    </w:rPr>
  </w:style>
  <w:style w:type="character" w:customStyle="1" w:styleId="ListParagraphChar">
    <w:name w:val="List Paragraph Char"/>
    <w:link w:val="ListParagraph"/>
    <w:uiPriority w:val="34"/>
    <w:locked/>
    <w:rsid w:val="00474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283">
      <w:bodyDiv w:val="1"/>
      <w:marLeft w:val="0"/>
      <w:marRight w:val="0"/>
      <w:marTop w:val="0"/>
      <w:marBottom w:val="0"/>
      <w:divBdr>
        <w:top w:val="none" w:sz="0" w:space="0" w:color="auto"/>
        <w:left w:val="none" w:sz="0" w:space="0" w:color="auto"/>
        <w:bottom w:val="none" w:sz="0" w:space="0" w:color="auto"/>
        <w:right w:val="none" w:sz="0" w:space="0" w:color="auto"/>
      </w:divBdr>
    </w:div>
    <w:div w:id="176582269">
      <w:bodyDiv w:val="1"/>
      <w:marLeft w:val="0"/>
      <w:marRight w:val="0"/>
      <w:marTop w:val="0"/>
      <w:marBottom w:val="0"/>
      <w:divBdr>
        <w:top w:val="none" w:sz="0" w:space="0" w:color="auto"/>
        <w:left w:val="none" w:sz="0" w:space="0" w:color="auto"/>
        <w:bottom w:val="none" w:sz="0" w:space="0" w:color="auto"/>
        <w:right w:val="none" w:sz="0" w:space="0" w:color="auto"/>
      </w:divBdr>
    </w:div>
    <w:div w:id="257177831">
      <w:bodyDiv w:val="1"/>
      <w:marLeft w:val="0"/>
      <w:marRight w:val="0"/>
      <w:marTop w:val="0"/>
      <w:marBottom w:val="0"/>
      <w:divBdr>
        <w:top w:val="none" w:sz="0" w:space="0" w:color="auto"/>
        <w:left w:val="none" w:sz="0" w:space="0" w:color="auto"/>
        <w:bottom w:val="none" w:sz="0" w:space="0" w:color="auto"/>
        <w:right w:val="none" w:sz="0" w:space="0" w:color="auto"/>
      </w:divBdr>
      <w:divsChild>
        <w:div w:id="1846942709">
          <w:marLeft w:val="0"/>
          <w:marRight w:val="0"/>
          <w:marTop w:val="0"/>
          <w:marBottom w:val="0"/>
          <w:divBdr>
            <w:top w:val="none" w:sz="0" w:space="0" w:color="auto"/>
            <w:left w:val="none" w:sz="0" w:space="0" w:color="auto"/>
            <w:bottom w:val="none" w:sz="0" w:space="0" w:color="auto"/>
            <w:right w:val="none" w:sz="0" w:space="0" w:color="auto"/>
          </w:divBdr>
          <w:divsChild>
            <w:div w:id="437025827">
              <w:marLeft w:val="0"/>
              <w:marRight w:val="0"/>
              <w:marTop w:val="0"/>
              <w:marBottom w:val="0"/>
              <w:divBdr>
                <w:top w:val="none" w:sz="0" w:space="0" w:color="auto"/>
                <w:left w:val="none" w:sz="0" w:space="0" w:color="auto"/>
                <w:bottom w:val="none" w:sz="0" w:space="0" w:color="auto"/>
                <w:right w:val="none" w:sz="0" w:space="0" w:color="auto"/>
              </w:divBdr>
              <w:divsChild>
                <w:div w:id="1116676909">
                  <w:marLeft w:val="0"/>
                  <w:marRight w:val="0"/>
                  <w:marTop w:val="0"/>
                  <w:marBottom w:val="0"/>
                  <w:divBdr>
                    <w:top w:val="none" w:sz="0" w:space="0" w:color="auto"/>
                    <w:left w:val="none" w:sz="0" w:space="0" w:color="auto"/>
                    <w:bottom w:val="none" w:sz="0" w:space="0" w:color="auto"/>
                    <w:right w:val="none" w:sz="0" w:space="0" w:color="auto"/>
                  </w:divBdr>
                  <w:divsChild>
                    <w:div w:id="1502963657">
                      <w:marLeft w:val="0"/>
                      <w:marRight w:val="0"/>
                      <w:marTop w:val="0"/>
                      <w:marBottom w:val="0"/>
                      <w:divBdr>
                        <w:top w:val="none" w:sz="0" w:space="0" w:color="auto"/>
                        <w:left w:val="none" w:sz="0" w:space="0" w:color="auto"/>
                        <w:bottom w:val="none" w:sz="0" w:space="0" w:color="auto"/>
                        <w:right w:val="none" w:sz="0" w:space="0" w:color="auto"/>
                      </w:divBdr>
                      <w:divsChild>
                        <w:div w:id="1949660110">
                          <w:marLeft w:val="0"/>
                          <w:marRight w:val="0"/>
                          <w:marTop w:val="0"/>
                          <w:marBottom w:val="0"/>
                          <w:divBdr>
                            <w:top w:val="none" w:sz="0" w:space="0" w:color="auto"/>
                            <w:left w:val="none" w:sz="0" w:space="0" w:color="auto"/>
                            <w:bottom w:val="none" w:sz="0" w:space="0" w:color="auto"/>
                            <w:right w:val="none" w:sz="0" w:space="0" w:color="auto"/>
                          </w:divBdr>
                          <w:divsChild>
                            <w:div w:id="1443913791">
                              <w:marLeft w:val="0"/>
                              <w:marRight w:val="0"/>
                              <w:marTop w:val="0"/>
                              <w:marBottom w:val="0"/>
                              <w:divBdr>
                                <w:top w:val="none" w:sz="0" w:space="0" w:color="auto"/>
                                <w:left w:val="none" w:sz="0" w:space="0" w:color="auto"/>
                                <w:bottom w:val="none" w:sz="0" w:space="0" w:color="auto"/>
                                <w:right w:val="none" w:sz="0" w:space="0" w:color="auto"/>
                              </w:divBdr>
                              <w:divsChild>
                                <w:div w:id="723796759">
                                  <w:marLeft w:val="0"/>
                                  <w:marRight w:val="0"/>
                                  <w:marTop w:val="0"/>
                                  <w:marBottom w:val="0"/>
                                  <w:divBdr>
                                    <w:top w:val="none" w:sz="0" w:space="0" w:color="auto"/>
                                    <w:left w:val="none" w:sz="0" w:space="0" w:color="auto"/>
                                    <w:bottom w:val="none" w:sz="0" w:space="0" w:color="auto"/>
                                    <w:right w:val="none" w:sz="0" w:space="0" w:color="auto"/>
                                  </w:divBdr>
                                  <w:divsChild>
                                    <w:div w:id="2005937813">
                                      <w:marLeft w:val="0"/>
                                      <w:marRight w:val="0"/>
                                      <w:marTop w:val="0"/>
                                      <w:marBottom w:val="0"/>
                                      <w:divBdr>
                                        <w:top w:val="none" w:sz="0" w:space="0" w:color="auto"/>
                                        <w:left w:val="none" w:sz="0" w:space="0" w:color="auto"/>
                                        <w:bottom w:val="none" w:sz="0" w:space="0" w:color="auto"/>
                                        <w:right w:val="none" w:sz="0" w:space="0" w:color="auto"/>
                                      </w:divBdr>
                                      <w:divsChild>
                                        <w:div w:id="749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14717">
      <w:bodyDiv w:val="1"/>
      <w:marLeft w:val="0"/>
      <w:marRight w:val="0"/>
      <w:marTop w:val="0"/>
      <w:marBottom w:val="0"/>
      <w:divBdr>
        <w:top w:val="none" w:sz="0" w:space="0" w:color="auto"/>
        <w:left w:val="none" w:sz="0" w:space="0" w:color="auto"/>
        <w:bottom w:val="none" w:sz="0" w:space="0" w:color="auto"/>
        <w:right w:val="none" w:sz="0" w:space="0" w:color="auto"/>
      </w:divBdr>
    </w:div>
    <w:div w:id="344064779">
      <w:bodyDiv w:val="1"/>
      <w:marLeft w:val="0"/>
      <w:marRight w:val="0"/>
      <w:marTop w:val="0"/>
      <w:marBottom w:val="0"/>
      <w:divBdr>
        <w:top w:val="none" w:sz="0" w:space="0" w:color="auto"/>
        <w:left w:val="none" w:sz="0" w:space="0" w:color="auto"/>
        <w:bottom w:val="none" w:sz="0" w:space="0" w:color="auto"/>
        <w:right w:val="none" w:sz="0" w:space="0" w:color="auto"/>
      </w:divBdr>
    </w:div>
    <w:div w:id="398287694">
      <w:bodyDiv w:val="1"/>
      <w:marLeft w:val="0"/>
      <w:marRight w:val="0"/>
      <w:marTop w:val="0"/>
      <w:marBottom w:val="0"/>
      <w:divBdr>
        <w:top w:val="none" w:sz="0" w:space="0" w:color="auto"/>
        <w:left w:val="none" w:sz="0" w:space="0" w:color="auto"/>
        <w:bottom w:val="none" w:sz="0" w:space="0" w:color="auto"/>
        <w:right w:val="none" w:sz="0" w:space="0" w:color="auto"/>
      </w:divBdr>
    </w:div>
    <w:div w:id="483278801">
      <w:bodyDiv w:val="1"/>
      <w:marLeft w:val="0"/>
      <w:marRight w:val="0"/>
      <w:marTop w:val="0"/>
      <w:marBottom w:val="0"/>
      <w:divBdr>
        <w:top w:val="none" w:sz="0" w:space="0" w:color="auto"/>
        <w:left w:val="none" w:sz="0" w:space="0" w:color="auto"/>
        <w:bottom w:val="none" w:sz="0" w:space="0" w:color="auto"/>
        <w:right w:val="none" w:sz="0" w:space="0" w:color="auto"/>
      </w:divBdr>
    </w:div>
    <w:div w:id="608466395">
      <w:bodyDiv w:val="1"/>
      <w:marLeft w:val="0"/>
      <w:marRight w:val="0"/>
      <w:marTop w:val="0"/>
      <w:marBottom w:val="0"/>
      <w:divBdr>
        <w:top w:val="none" w:sz="0" w:space="0" w:color="auto"/>
        <w:left w:val="none" w:sz="0" w:space="0" w:color="auto"/>
        <w:bottom w:val="none" w:sz="0" w:space="0" w:color="auto"/>
        <w:right w:val="none" w:sz="0" w:space="0" w:color="auto"/>
      </w:divBdr>
    </w:div>
    <w:div w:id="627977534">
      <w:bodyDiv w:val="1"/>
      <w:marLeft w:val="0"/>
      <w:marRight w:val="0"/>
      <w:marTop w:val="0"/>
      <w:marBottom w:val="0"/>
      <w:divBdr>
        <w:top w:val="none" w:sz="0" w:space="0" w:color="auto"/>
        <w:left w:val="none" w:sz="0" w:space="0" w:color="auto"/>
        <w:bottom w:val="none" w:sz="0" w:space="0" w:color="auto"/>
        <w:right w:val="none" w:sz="0" w:space="0" w:color="auto"/>
      </w:divBdr>
    </w:div>
    <w:div w:id="637565297">
      <w:bodyDiv w:val="1"/>
      <w:marLeft w:val="0"/>
      <w:marRight w:val="0"/>
      <w:marTop w:val="0"/>
      <w:marBottom w:val="0"/>
      <w:divBdr>
        <w:top w:val="none" w:sz="0" w:space="0" w:color="auto"/>
        <w:left w:val="none" w:sz="0" w:space="0" w:color="auto"/>
        <w:bottom w:val="none" w:sz="0" w:space="0" w:color="auto"/>
        <w:right w:val="none" w:sz="0" w:space="0" w:color="auto"/>
      </w:divBdr>
      <w:divsChild>
        <w:div w:id="937373900">
          <w:marLeft w:val="0"/>
          <w:marRight w:val="0"/>
          <w:marTop w:val="100"/>
          <w:marBottom w:val="100"/>
          <w:divBdr>
            <w:top w:val="single" w:sz="6" w:space="0" w:color="999999"/>
            <w:left w:val="single" w:sz="6" w:space="0" w:color="999999"/>
            <w:bottom w:val="single" w:sz="6" w:space="0" w:color="999999"/>
            <w:right w:val="single" w:sz="6" w:space="0" w:color="999999"/>
          </w:divBdr>
          <w:divsChild>
            <w:div w:id="1452287203">
              <w:marLeft w:val="0"/>
              <w:marRight w:val="0"/>
              <w:marTop w:val="0"/>
              <w:marBottom w:val="0"/>
              <w:divBdr>
                <w:top w:val="none" w:sz="0" w:space="0" w:color="auto"/>
                <w:left w:val="none" w:sz="0" w:space="0" w:color="auto"/>
                <w:bottom w:val="none" w:sz="0" w:space="0" w:color="auto"/>
                <w:right w:val="none" w:sz="0" w:space="0" w:color="auto"/>
              </w:divBdr>
              <w:divsChild>
                <w:div w:id="1855219828">
                  <w:marLeft w:val="0"/>
                  <w:marRight w:val="0"/>
                  <w:marTop w:val="0"/>
                  <w:marBottom w:val="0"/>
                  <w:divBdr>
                    <w:top w:val="none" w:sz="0" w:space="0" w:color="auto"/>
                    <w:left w:val="none" w:sz="0" w:space="0" w:color="auto"/>
                    <w:bottom w:val="none" w:sz="0" w:space="0" w:color="auto"/>
                    <w:right w:val="none" w:sz="0" w:space="0" w:color="auto"/>
                  </w:divBdr>
                  <w:divsChild>
                    <w:div w:id="821851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8270676">
      <w:bodyDiv w:val="1"/>
      <w:marLeft w:val="0"/>
      <w:marRight w:val="0"/>
      <w:marTop w:val="0"/>
      <w:marBottom w:val="0"/>
      <w:divBdr>
        <w:top w:val="none" w:sz="0" w:space="0" w:color="auto"/>
        <w:left w:val="none" w:sz="0" w:space="0" w:color="auto"/>
        <w:bottom w:val="none" w:sz="0" w:space="0" w:color="auto"/>
        <w:right w:val="none" w:sz="0" w:space="0" w:color="auto"/>
      </w:divBdr>
    </w:div>
    <w:div w:id="675378144">
      <w:bodyDiv w:val="1"/>
      <w:marLeft w:val="0"/>
      <w:marRight w:val="0"/>
      <w:marTop w:val="0"/>
      <w:marBottom w:val="0"/>
      <w:divBdr>
        <w:top w:val="none" w:sz="0" w:space="0" w:color="auto"/>
        <w:left w:val="none" w:sz="0" w:space="0" w:color="auto"/>
        <w:bottom w:val="none" w:sz="0" w:space="0" w:color="auto"/>
        <w:right w:val="none" w:sz="0" w:space="0" w:color="auto"/>
      </w:divBdr>
      <w:divsChild>
        <w:div w:id="1264920276">
          <w:marLeft w:val="0"/>
          <w:marRight w:val="0"/>
          <w:marTop w:val="100"/>
          <w:marBottom w:val="100"/>
          <w:divBdr>
            <w:top w:val="single" w:sz="6" w:space="0" w:color="999999"/>
            <w:left w:val="single" w:sz="6" w:space="0" w:color="999999"/>
            <w:bottom w:val="single" w:sz="6" w:space="0" w:color="999999"/>
            <w:right w:val="single" w:sz="6" w:space="0" w:color="999999"/>
          </w:divBdr>
          <w:divsChild>
            <w:div w:id="713240084">
              <w:marLeft w:val="0"/>
              <w:marRight w:val="0"/>
              <w:marTop w:val="0"/>
              <w:marBottom w:val="0"/>
              <w:divBdr>
                <w:top w:val="none" w:sz="0" w:space="0" w:color="auto"/>
                <w:left w:val="none" w:sz="0" w:space="0" w:color="auto"/>
                <w:bottom w:val="none" w:sz="0" w:space="0" w:color="auto"/>
                <w:right w:val="none" w:sz="0" w:space="0" w:color="auto"/>
              </w:divBdr>
              <w:divsChild>
                <w:div w:id="1091392779">
                  <w:marLeft w:val="0"/>
                  <w:marRight w:val="0"/>
                  <w:marTop w:val="0"/>
                  <w:marBottom w:val="0"/>
                  <w:divBdr>
                    <w:top w:val="none" w:sz="0" w:space="0" w:color="auto"/>
                    <w:left w:val="none" w:sz="0" w:space="0" w:color="auto"/>
                    <w:bottom w:val="none" w:sz="0" w:space="0" w:color="auto"/>
                    <w:right w:val="none" w:sz="0" w:space="0" w:color="auto"/>
                  </w:divBdr>
                  <w:divsChild>
                    <w:div w:id="595400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8848037">
      <w:bodyDiv w:val="1"/>
      <w:marLeft w:val="0"/>
      <w:marRight w:val="0"/>
      <w:marTop w:val="0"/>
      <w:marBottom w:val="0"/>
      <w:divBdr>
        <w:top w:val="none" w:sz="0" w:space="0" w:color="auto"/>
        <w:left w:val="none" w:sz="0" w:space="0" w:color="auto"/>
        <w:bottom w:val="none" w:sz="0" w:space="0" w:color="auto"/>
        <w:right w:val="none" w:sz="0" w:space="0" w:color="auto"/>
      </w:divBdr>
    </w:div>
    <w:div w:id="943731652">
      <w:bodyDiv w:val="1"/>
      <w:marLeft w:val="0"/>
      <w:marRight w:val="0"/>
      <w:marTop w:val="0"/>
      <w:marBottom w:val="0"/>
      <w:divBdr>
        <w:top w:val="none" w:sz="0" w:space="0" w:color="auto"/>
        <w:left w:val="none" w:sz="0" w:space="0" w:color="auto"/>
        <w:bottom w:val="none" w:sz="0" w:space="0" w:color="auto"/>
        <w:right w:val="none" w:sz="0" w:space="0" w:color="auto"/>
      </w:divBdr>
    </w:div>
    <w:div w:id="985818843">
      <w:bodyDiv w:val="1"/>
      <w:marLeft w:val="0"/>
      <w:marRight w:val="0"/>
      <w:marTop w:val="0"/>
      <w:marBottom w:val="0"/>
      <w:divBdr>
        <w:top w:val="none" w:sz="0" w:space="0" w:color="auto"/>
        <w:left w:val="none" w:sz="0" w:space="0" w:color="auto"/>
        <w:bottom w:val="none" w:sz="0" w:space="0" w:color="auto"/>
        <w:right w:val="none" w:sz="0" w:space="0" w:color="auto"/>
      </w:divBdr>
    </w:div>
    <w:div w:id="986974911">
      <w:bodyDiv w:val="1"/>
      <w:marLeft w:val="0"/>
      <w:marRight w:val="0"/>
      <w:marTop w:val="0"/>
      <w:marBottom w:val="0"/>
      <w:divBdr>
        <w:top w:val="none" w:sz="0" w:space="0" w:color="auto"/>
        <w:left w:val="none" w:sz="0" w:space="0" w:color="auto"/>
        <w:bottom w:val="none" w:sz="0" w:space="0" w:color="auto"/>
        <w:right w:val="none" w:sz="0" w:space="0" w:color="auto"/>
      </w:divBdr>
    </w:div>
    <w:div w:id="1114712691">
      <w:bodyDiv w:val="1"/>
      <w:marLeft w:val="0"/>
      <w:marRight w:val="0"/>
      <w:marTop w:val="0"/>
      <w:marBottom w:val="0"/>
      <w:divBdr>
        <w:top w:val="none" w:sz="0" w:space="0" w:color="auto"/>
        <w:left w:val="none" w:sz="0" w:space="0" w:color="auto"/>
        <w:bottom w:val="none" w:sz="0" w:space="0" w:color="auto"/>
        <w:right w:val="none" w:sz="0" w:space="0" w:color="auto"/>
      </w:divBdr>
    </w:div>
    <w:div w:id="1114785407">
      <w:bodyDiv w:val="1"/>
      <w:marLeft w:val="0"/>
      <w:marRight w:val="0"/>
      <w:marTop w:val="0"/>
      <w:marBottom w:val="0"/>
      <w:divBdr>
        <w:top w:val="none" w:sz="0" w:space="0" w:color="auto"/>
        <w:left w:val="none" w:sz="0" w:space="0" w:color="auto"/>
        <w:bottom w:val="none" w:sz="0" w:space="0" w:color="auto"/>
        <w:right w:val="none" w:sz="0" w:space="0" w:color="auto"/>
      </w:divBdr>
    </w:div>
    <w:div w:id="1121922809">
      <w:bodyDiv w:val="1"/>
      <w:marLeft w:val="0"/>
      <w:marRight w:val="0"/>
      <w:marTop w:val="0"/>
      <w:marBottom w:val="0"/>
      <w:divBdr>
        <w:top w:val="none" w:sz="0" w:space="0" w:color="auto"/>
        <w:left w:val="none" w:sz="0" w:space="0" w:color="auto"/>
        <w:bottom w:val="none" w:sz="0" w:space="0" w:color="auto"/>
        <w:right w:val="none" w:sz="0" w:space="0" w:color="auto"/>
      </w:divBdr>
    </w:div>
    <w:div w:id="1164472932">
      <w:bodyDiv w:val="1"/>
      <w:marLeft w:val="0"/>
      <w:marRight w:val="0"/>
      <w:marTop w:val="0"/>
      <w:marBottom w:val="0"/>
      <w:divBdr>
        <w:top w:val="none" w:sz="0" w:space="0" w:color="auto"/>
        <w:left w:val="none" w:sz="0" w:space="0" w:color="auto"/>
        <w:bottom w:val="none" w:sz="0" w:space="0" w:color="auto"/>
        <w:right w:val="none" w:sz="0" w:space="0" w:color="auto"/>
      </w:divBdr>
    </w:div>
    <w:div w:id="1183203417">
      <w:bodyDiv w:val="1"/>
      <w:marLeft w:val="0"/>
      <w:marRight w:val="0"/>
      <w:marTop w:val="0"/>
      <w:marBottom w:val="0"/>
      <w:divBdr>
        <w:top w:val="none" w:sz="0" w:space="0" w:color="auto"/>
        <w:left w:val="none" w:sz="0" w:space="0" w:color="auto"/>
        <w:bottom w:val="none" w:sz="0" w:space="0" w:color="auto"/>
        <w:right w:val="none" w:sz="0" w:space="0" w:color="auto"/>
      </w:divBdr>
    </w:div>
    <w:div w:id="1315642962">
      <w:bodyDiv w:val="1"/>
      <w:marLeft w:val="0"/>
      <w:marRight w:val="0"/>
      <w:marTop w:val="0"/>
      <w:marBottom w:val="0"/>
      <w:divBdr>
        <w:top w:val="none" w:sz="0" w:space="0" w:color="auto"/>
        <w:left w:val="none" w:sz="0" w:space="0" w:color="auto"/>
        <w:bottom w:val="none" w:sz="0" w:space="0" w:color="auto"/>
        <w:right w:val="none" w:sz="0" w:space="0" w:color="auto"/>
      </w:divBdr>
    </w:div>
    <w:div w:id="1379282750">
      <w:bodyDiv w:val="1"/>
      <w:marLeft w:val="0"/>
      <w:marRight w:val="0"/>
      <w:marTop w:val="0"/>
      <w:marBottom w:val="0"/>
      <w:divBdr>
        <w:top w:val="none" w:sz="0" w:space="0" w:color="auto"/>
        <w:left w:val="none" w:sz="0" w:space="0" w:color="auto"/>
        <w:bottom w:val="none" w:sz="0" w:space="0" w:color="auto"/>
        <w:right w:val="none" w:sz="0" w:space="0" w:color="auto"/>
      </w:divBdr>
    </w:div>
    <w:div w:id="1469398437">
      <w:bodyDiv w:val="1"/>
      <w:marLeft w:val="0"/>
      <w:marRight w:val="0"/>
      <w:marTop w:val="0"/>
      <w:marBottom w:val="0"/>
      <w:divBdr>
        <w:top w:val="none" w:sz="0" w:space="0" w:color="auto"/>
        <w:left w:val="none" w:sz="0" w:space="0" w:color="auto"/>
        <w:bottom w:val="none" w:sz="0" w:space="0" w:color="auto"/>
        <w:right w:val="none" w:sz="0" w:space="0" w:color="auto"/>
      </w:divBdr>
    </w:div>
    <w:div w:id="1580602701">
      <w:bodyDiv w:val="1"/>
      <w:marLeft w:val="0"/>
      <w:marRight w:val="0"/>
      <w:marTop w:val="0"/>
      <w:marBottom w:val="0"/>
      <w:divBdr>
        <w:top w:val="none" w:sz="0" w:space="0" w:color="auto"/>
        <w:left w:val="none" w:sz="0" w:space="0" w:color="auto"/>
        <w:bottom w:val="none" w:sz="0" w:space="0" w:color="auto"/>
        <w:right w:val="none" w:sz="0" w:space="0" w:color="auto"/>
      </w:divBdr>
    </w:div>
    <w:div w:id="1653410406">
      <w:bodyDiv w:val="1"/>
      <w:marLeft w:val="0"/>
      <w:marRight w:val="0"/>
      <w:marTop w:val="0"/>
      <w:marBottom w:val="0"/>
      <w:divBdr>
        <w:top w:val="none" w:sz="0" w:space="0" w:color="auto"/>
        <w:left w:val="none" w:sz="0" w:space="0" w:color="auto"/>
        <w:bottom w:val="none" w:sz="0" w:space="0" w:color="auto"/>
        <w:right w:val="none" w:sz="0" w:space="0" w:color="auto"/>
      </w:divBdr>
    </w:div>
    <w:div w:id="1777015843">
      <w:bodyDiv w:val="1"/>
      <w:marLeft w:val="0"/>
      <w:marRight w:val="0"/>
      <w:marTop w:val="0"/>
      <w:marBottom w:val="0"/>
      <w:divBdr>
        <w:top w:val="none" w:sz="0" w:space="0" w:color="auto"/>
        <w:left w:val="none" w:sz="0" w:space="0" w:color="auto"/>
        <w:bottom w:val="none" w:sz="0" w:space="0" w:color="auto"/>
        <w:right w:val="none" w:sz="0" w:space="0" w:color="auto"/>
      </w:divBdr>
    </w:div>
    <w:div w:id="1923292042">
      <w:bodyDiv w:val="1"/>
      <w:marLeft w:val="0"/>
      <w:marRight w:val="0"/>
      <w:marTop w:val="0"/>
      <w:marBottom w:val="0"/>
      <w:divBdr>
        <w:top w:val="none" w:sz="0" w:space="0" w:color="auto"/>
        <w:left w:val="none" w:sz="0" w:space="0" w:color="auto"/>
        <w:bottom w:val="none" w:sz="0" w:space="0" w:color="auto"/>
        <w:right w:val="none" w:sz="0" w:space="0" w:color="auto"/>
      </w:divBdr>
    </w:div>
    <w:div w:id="1949072814">
      <w:bodyDiv w:val="1"/>
      <w:marLeft w:val="0"/>
      <w:marRight w:val="0"/>
      <w:marTop w:val="0"/>
      <w:marBottom w:val="0"/>
      <w:divBdr>
        <w:top w:val="none" w:sz="0" w:space="0" w:color="auto"/>
        <w:left w:val="none" w:sz="0" w:space="0" w:color="auto"/>
        <w:bottom w:val="none" w:sz="0" w:space="0" w:color="auto"/>
        <w:right w:val="none" w:sz="0" w:space="0" w:color="auto"/>
      </w:divBdr>
    </w:div>
    <w:div w:id="1971588007">
      <w:bodyDiv w:val="1"/>
      <w:marLeft w:val="0"/>
      <w:marRight w:val="0"/>
      <w:marTop w:val="0"/>
      <w:marBottom w:val="0"/>
      <w:divBdr>
        <w:top w:val="none" w:sz="0" w:space="0" w:color="auto"/>
        <w:left w:val="none" w:sz="0" w:space="0" w:color="auto"/>
        <w:bottom w:val="none" w:sz="0" w:space="0" w:color="auto"/>
        <w:right w:val="none" w:sz="0" w:space="0" w:color="auto"/>
      </w:divBdr>
    </w:div>
    <w:div w:id="2024739829">
      <w:bodyDiv w:val="1"/>
      <w:marLeft w:val="0"/>
      <w:marRight w:val="0"/>
      <w:marTop w:val="0"/>
      <w:marBottom w:val="0"/>
      <w:divBdr>
        <w:top w:val="none" w:sz="0" w:space="0" w:color="auto"/>
        <w:left w:val="none" w:sz="0" w:space="0" w:color="auto"/>
        <w:bottom w:val="none" w:sz="0" w:space="0" w:color="auto"/>
        <w:right w:val="none" w:sz="0" w:space="0" w:color="auto"/>
      </w:divBdr>
    </w:div>
    <w:div w:id="2083720382">
      <w:bodyDiv w:val="1"/>
      <w:marLeft w:val="0"/>
      <w:marRight w:val="0"/>
      <w:marTop w:val="0"/>
      <w:marBottom w:val="0"/>
      <w:divBdr>
        <w:top w:val="none" w:sz="0" w:space="0" w:color="auto"/>
        <w:left w:val="none" w:sz="0" w:space="0" w:color="auto"/>
        <w:bottom w:val="none" w:sz="0" w:space="0" w:color="auto"/>
        <w:right w:val="none" w:sz="0" w:space="0" w:color="auto"/>
      </w:divBdr>
    </w:div>
    <w:div w:id="2099250087">
      <w:bodyDiv w:val="1"/>
      <w:marLeft w:val="0"/>
      <w:marRight w:val="0"/>
      <w:marTop w:val="0"/>
      <w:marBottom w:val="0"/>
      <w:divBdr>
        <w:top w:val="none" w:sz="0" w:space="0" w:color="auto"/>
        <w:left w:val="none" w:sz="0" w:space="0" w:color="auto"/>
        <w:bottom w:val="none" w:sz="0" w:space="0" w:color="auto"/>
        <w:right w:val="none" w:sz="0" w:space="0" w:color="auto"/>
      </w:divBdr>
    </w:div>
    <w:div w:id="21090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dcfs4.west-dunbarton.gov.uk\users$\amcosh\Copy%20of%20Copy%20of%20Absence%20Stats%20Feb17.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wdcfs4\HR&amp;OD\Management%20Information\Workforce%20Planning%20Reports\2017\Workforce%20Plan%202017%20-%20RE&amp;G%20Table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Headcount</a:t>
            </a:r>
          </a:p>
        </c:rich>
      </c:tx>
      <c:layout>
        <c:manualLayout>
          <c:xMode val="edge"/>
          <c:yMode val="edge"/>
          <c:x val="0.40334609872324934"/>
          <c:y val="2.3994354714024762E-2"/>
        </c:manualLayout>
      </c:layout>
      <c:overlay val="0"/>
    </c:title>
    <c:autoTitleDeleted val="0"/>
    <c:plotArea>
      <c:layout/>
      <c:barChart>
        <c:barDir val="col"/>
        <c:grouping val="clustered"/>
        <c:varyColors val="0"/>
        <c:ser>
          <c:idx val="0"/>
          <c:order val="0"/>
          <c:invertIfNegative val="0"/>
          <c:cat>
            <c:strRef>
              <c:f>'E&amp;N'!$A$7:$A$10</c:f>
              <c:strCache>
                <c:ptCount val="4"/>
                <c:pt idx="0">
                  <c:v>Facilities Management</c:v>
                </c:pt>
                <c:pt idx="1">
                  <c:v>Fleet &amp; Waste Services</c:v>
                </c:pt>
                <c:pt idx="2">
                  <c:v>Greenspace</c:v>
                </c:pt>
                <c:pt idx="3">
                  <c:v>Roads &amp; Transportation</c:v>
                </c:pt>
              </c:strCache>
            </c:strRef>
          </c:cat>
          <c:val>
            <c:numRef>
              <c:f>'E&amp;N'!$F$7:$F$10</c:f>
              <c:numCache>
                <c:formatCode>General</c:formatCode>
                <c:ptCount val="4"/>
                <c:pt idx="0">
                  <c:v>523</c:v>
                </c:pt>
                <c:pt idx="1">
                  <c:v>112</c:v>
                </c:pt>
                <c:pt idx="2">
                  <c:v>211</c:v>
                </c:pt>
                <c:pt idx="3">
                  <c:v>95</c:v>
                </c:pt>
              </c:numCache>
            </c:numRef>
          </c:val>
        </c:ser>
        <c:dLbls>
          <c:showLegendKey val="0"/>
          <c:showVal val="0"/>
          <c:showCatName val="0"/>
          <c:showSerName val="0"/>
          <c:showPercent val="0"/>
          <c:showBubbleSize val="0"/>
        </c:dLbls>
        <c:gapWidth val="150"/>
        <c:axId val="73976448"/>
        <c:axId val="74027392"/>
      </c:barChart>
      <c:catAx>
        <c:axId val="73976448"/>
        <c:scaling>
          <c:orientation val="minMax"/>
        </c:scaling>
        <c:delete val="0"/>
        <c:axPos val="b"/>
        <c:numFmt formatCode="General" sourceLinked="1"/>
        <c:majorTickMark val="out"/>
        <c:minorTickMark val="none"/>
        <c:tickLblPos val="nextTo"/>
        <c:crossAx val="74027392"/>
        <c:crosses val="autoZero"/>
        <c:auto val="1"/>
        <c:lblAlgn val="ctr"/>
        <c:lblOffset val="100"/>
        <c:noMultiLvlLbl val="0"/>
      </c:catAx>
      <c:valAx>
        <c:axId val="74027392"/>
        <c:scaling>
          <c:orientation val="minMax"/>
        </c:scaling>
        <c:delete val="0"/>
        <c:axPos val="l"/>
        <c:majorGridlines/>
        <c:numFmt formatCode="General" sourceLinked="1"/>
        <c:majorTickMark val="out"/>
        <c:minorTickMark val="none"/>
        <c:tickLblPos val="nextTo"/>
        <c:crossAx val="73976448"/>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sz="1400"/>
              <a:t>Length of Service</a:t>
            </a:r>
          </a:p>
        </c:rich>
      </c:tx>
      <c:overlay val="0"/>
    </c:title>
    <c:autoTitleDeleted val="0"/>
    <c:plotArea>
      <c:layout/>
      <c:barChart>
        <c:barDir val="col"/>
        <c:grouping val="clustered"/>
        <c:varyColors val="0"/>
        <c:ser>
          <c:idx val="0"/>
          <c:order val="0"/>
          <c:tx>
            <c:strRef>
              <c:f>'E&amp;N'!$B$240</c:f>
              <c:strCache>
                <c:ptCount val="1"/>
                <c:pt idx="0">
                  <c:v>Less than 1 year</c:v>
                </c:pt>
              </c:strCache>
            </c:strRef>
          </c:tx>
          <c:invertIfNegative val="0"/>
          <c:cat>
            <c:strRef>
              <c:f>'E&amp;N'!$A$242:$A$245</c:f>
              <c:strCache>
                <c:ptCount val="4"/>
                <c:pt idx="0">
                  <c:v>Facilities Management</c:v>
                </c:pt>
                <c:pt idx="1">
                  <c:v>Fleet &amp; Waste Services</c:v>
                </c:pt>
                <c:pt idx="2">
                  <c:v>Greenspace</c:v>
                </c:pt>
                <c:pt idx="3">
                  <c:v>Roads &amp; Transportation</c:v>
                </c:pt>
              </c:strCache>
            </c:strRef>
          </c:cat>
          <c:val>
            <c:numRef>
              <c:f>'E&amp;N'!$B$242:$B$245</c:f>
              <c:numCache>
                <c:formatCode>General</c:formatCode>
                <c:ptCount val="4"/>
                <c:pt idx="0">
                  <c:v>29</c:v>
                </c:pt>
                <c:pt idx="1">
                  <c:v>0</c:v>
                </c:pt>
                <c:pt idx="2">
                  <c:v>30</c:v>
                </c:pt>
                <c:pt idx="3">
                  <c:v>5</c:v>
                </c:pt>
              </c:numCache>
            </c:numRef>
          </c:val>
        </c:ser>
        <c:ser>
          <c:idx val="1"/>
          <c:order val="1"/>
          <c:tx>
            <c:strRef>
              <c:f>'E&amp;N'!$D$240</c:f>
              <c:strCache>
                <c:ptCount val="1"/>
                <c:pt idx="0">
                  <c:v>1 to 9 years</c:v>
                </c:pt>
              </c:strCache>
            </c:strRef>
          </c:tx>
          <c:invertIfNegative val="0"/>
          <c:cat>
            <c:strRef>
              <c:f>'E&amp;N'!$A$242:$A$245</c:f>
              <c:strCache>
                <c:ptCount val="4"/>
                <c:pt idx="0">
                  <c:v>Facilities Management</c:v>
                </c:pt>
                <c:pt idx="1">
                  <c:v>Fleet &amp; Waste Services</c:v>
                </c:pt>
                <c:pt idx="2">
                  <c:v>Greenspace</c:v>
                </c:pt>
                <c:pt idx="3">
                  <c:v>Roads &amp; Transportation</c:v>
                </c:pt>
              </c:strCache>
            </c:strRef>
          </c:cat>
          <c:val>
            <c:numRef>
              <c:f>'E&amp;N'!$D$242:$D$245</c:f>
              <c:numCache>
                <c:formatCode>General</c:formatCode>
                <c:ptCount val="4"/>
                <c:pt idx="0">
                  <c:v>173</c:v>
                </c:pt>
                <c:pt idx="1">
                  <c:v>24</c:v>
                </c:pt>
                <c:pt idx="2">
                  <c:v>58</c:v>
                </c:pt>
                <c:pt idx="3">
                  <c:v>27</c:v>
                </c:pt>
              </c:numCache>
            </c:numRef>
          </c:val>
        </c:ser>
        <c:ser>
          <c:idx val="2"/>
          <c:order val="2"/>
          <c:tx>
            <c:strRef>
              <c:f>'E&amp;N'!$F$240</c:f>
              <c:strCache>
                <c:ptCount val="1"/>
                <c:pt idx="0">
                  <c:v>10 or more years</c:v>
                </c:pt>
              </c:strCache>
            </c:strRef>
          </c:tx>
          <c:invertIfNegative val="0"/>
          <c:cat>
            <c:strRef>
              <c:f>'E&amp;N'!$A$242:$A$245</c:f>
              <c:strCache>
                <c:ptCount val="4"/>
                <c:pt idx="0">
                  <c:v>Facilities Management</c:v>
                </c:pt>
                <c:pt idx="1">
                  <c:v>Fleet &amp; Waste Services</c:v>
                </c:pt>
                <c:pt idx="2">
                  <c:v>Greenspace</c:v>
                </c:pt>
                <c:pt idx="3">
                  <c:v>Roads &amp; Transportation</c:v>
                </c:pt>
              </c:strCache>
            </c:strRef>
          </c:cat>
          <c:val>
            <c:numRef>
              <c:f>'E&amp;N'!$F$242:$F$245</c:f>
              <c:numCache>
                <c:formatCode>General</c:formatCode>
                <c:ptCount val="4"/>
                <c:pt idx="0">
                  <c:v>322</c:v>
                </c:pt>
                <c:pt idx="1">
                  <c:v>89</c:v>
                </c:pt>
                <c:pt idx="2">
                  <c:v>123</c:v>
                </c:pt>
                <c:pt idx="3">
                  <c:v>63</c:v>
                </c:pt>
              </c:numCache>
            </c:numRef>
          </c:val>
        </c:ser>
        <c:dLbls>
          <c:showLegendKey val="0"/>
          <c:showVal val="0"/>
          <c:showCatName val="0"/>
          <c:showSerName val="0"/>
          <c:showPercent val="0"/>
          <c:showBubbleSize val="0"/>
        </c:dLbls>
        <c:gapWidth val="150"/>
        <c:axId val="83180928"/>
        <c:axId val="83190912"/>
      </c:barChart>
      <c:catAx>
        <c:axId val="83180928"/>
        <c:scaling>
          <c:orientation val="minMax"/>
        </c:scaling>
        <c:delete val="0"/>
        <c:axPos val="b"/>
        <c:numFmt formatCode="General" sourceLinked="1"/>
        <c:majorTickMark val="out"/>
        <c:minorTickMark val="none"/>
        <c:tickLblPos val="nextTo"/>
        <c:crossAx val="83190912"/>
        <c:crosses val="autoZero"/>
        <c:auto val="1"/>
        <c:lblAlgn val="ctr"/>
        <c:lblOffset val="100"/>
        <c:noMultiLvlLbl val="0"/>
      </c:catAx>
      <c:valAx>
        <c:axId val="83190912"/>
        <c:scaling>
          <c:orientation val="minMax"/>
        </c:scaling>
        <c:delete val="0"/>
        <c:axPos val="l"/>
        <c:majorGridlines/>
        <c:numFmt formatCode="General" sourceLinked="1"/>
        <c:majorTickMark val="out"/>
        <c:minorTickMark val="none"/>
        <c:tickLblPos val="nextTo"/>
        <c:crossAx val="8318092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Leavers</a:t>
            </a:r>
          </a:p>
        </c:rich>
      </c:tx>
      <c:layout>
        <c:manualLayout>
          <c:xMode val="edge"/>
          <c:yMode val="edge"/>
          <c:x val="2.0135256331123664E-2"/>
          <c:y val="3.358853863850049E-2"/>
        </c:manualLayout>
      </c:layout>
      <c:overlay val="0"/>
    </c:title>
    <c:autoTitleDeleted val="0"/>
    <c:plotArea>
      <c:layout/>
      <c:barChart>
        <c:barDir val="col"/>
        <c:grouping val="clustered"/>
        <c:varyColors val="0"/>
        <c:ser>
          <c:idx val="0"/>
          <c:order val="0"/>
          <c:tx>
            <c:strRef>
              <c:f>'E&amp;N'!$A$396</c:f>
              <c:strCache>
                <c:ptCount val="1"/>
                <c:pt idx="0">
                  <c:v>Environment &amp; Neighbourhood Total</c:v>
                </c:pt>
              </c:strCache>
            </c:strRef>
          </c:tx>
          <c:invertIfNegative val="0"/>
          <c:cat>
            <c:strRef>
              <c:f>'E&amp;N'!$B$391:$L$391</c:f>
              <c:strCache>
                <c:ptCount val="11"/>
                <c:pt idx="0">
                  <c:v>Death in Service</c:v>
                </c:pt>
                <c:pt idx="1">
                  <c:v>Dismissal - End of Cont</c:v>
                </c:pt>
                <c:pt idx="2">
                  <c:v>Dismissal - Ill Heath</c:v>
                </c:pt>
                <c:pt idx="3">
                  <c:v>Dismissal - With Notice</c:v>
                </c:pt>
                <c:pt idx="4">
                  <c:v>Employee Not Started</c:v>
                </c:pt>
                <c:pt idx="5">
                  <c:v>Redundancy</c:v>
                </c:pt>
                <c:pt idx="6">
                  <c:v>Resignation</c:v>
                </c:pt>
                <c:pt idx="7">
                  <c:v>Retiral - Age</c:v>
                </c:pt>
                <c:pt idx="8">
                  <c:v>Retiral - Efficiency</c:v>
                </c:pt>
                <c:pt idx="9">
                  <c:v>Retiral - Ill Health</c:v>
                </c:pt>
                <c:pt idx="10">
                  <c:v>Retiral on Option (60+)</c:v>
                </c:pt>
              </c:strCache>
            </c:strRef>
          </c:cat>
          <c:val>
            <c:numRef>
              <c:f>'E&amp;N'!$B$396:$L$396</c:f>
              <c:numCache>
                <c:formatCode>General</c:formatCode>
                <c:ptCount val="11"/>
                <c:pt idx="0">
                  <c:v>2</c:v>
                </c:pt>
                <c:pt idx="1">
                  <c:v>12</c:v>
                </c:pt>
                <c:pt idx="2">
                  <c:v>7</c:v>
                </c:pt>
                <c:pt idx="3">
                  <c:v>2</c:v>
                </c:pt>
                <c:pt idx="4">
                  <c:v>1</c:v>
                </c:pt>
                <c:pt idx="5">
                  <c:v>1</c:v>
                </c:pt>
                <c:pt idx="6">
                  <c:v>38</c:v>
                </c:pt>
                <c:pt idx="7">
                  <c:v>7</c:v>
                </c:pt>
                <c:pt idx="8">
                  <c:v>1</c:v>
                </c:pt>
                <c:pt idx="9">
                  <c:v>3</c:v>
                </c:pt>
                <c:pt idx="10">
                  <c:v>1</c:v>
                </c:pt>
              </c:numCache>
            </c:numRef>
          </c:val>
        </c:ser>
        <c:dLbls>
          <c:showLegendKey val="0"/>
          <c:showVal val="0"/>
          <c:showCatName val="0"/>
          <c:showSerName val="0"/>
          <c:showPercent val="0"/>
          <c:showBubbleSize val="0"/>
        </c:dLbls>
        <c:gapWidth val="150"/>
        <c:axId val="83199104"/>
        <c:axId val="83200640"/>
      </c:barChart>
      <c:catAx>
        <c:axId val="83199104"/>
        <c:scaling>
          <c:orientation val="minMax"/>
        </c:scaling>
        <c:delete val="0"/>
        <c:axPos val="b"/>
        <c:majorTickMark val="none"/>
        <c:minorTickMark val="none"/>
        <c:tickLblPos val="nextTo"/>
        <c:crossAx val="83200640"/>
        <c:crosses val="autoZero"/>
        <c:auto val="1"/>
        <c:lblAlgn val="ctr"/>
        <c:lblOffset val="100"/>
        <c:noMultiLvlLbl val="0"/>
      </c:catAx>
      <c:valAx>
        <c:axId val="83200640"/>
        <c:scaling>
          <c:orientation val="minMax"/>
        </c:scaling>
        <c:delete val="0"/>
        <c:axPos val="l"/>
        <c:majorGridlines/>
        <c:numFmt formatCode="General" sourceLinked="1"/>
        <c:majorTickMark val="none"/>
        <c:minorTickMark val="none"/>
        <c:tickLblPos val="nextTo"/>
        <c:crossAx val="8319910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Leavers</a:t>
            </a:r>
            <a:r>
              <a:rPr lang="en-GB" sz="1400" baseline="0"/>
              <a:t> within first year of employment</a:t>
            </a:r>
            <a:endParaRPr lang="en-GB" sz="1400"/>
          </a:p>
        </c:rich>
      </c:tx>
      <c:overlay val="0"/>
    </c:title>
    <c:autoTitleDeleted val="0"/>
    <c:plotArea>
      <c:layout/>
      <c:barChart>
        <c:barDir val="col"/>
        <c:grouping val="clustered"/>
        <c:varyColors val="0"/>
        <c:ser>
          <c:idx val="0"/>
          <c:order val="0"/>
          <c:invertIfNegative val="0"/>
          <c:cat>
            <c:strRef>
              <c:f>'E&amp;N'!$A$430:$A$433</c:f>
              <c:strCache>
                <c:ptCount val="4"/>
                <c:pt idx="0">
                  <c:v>Facilities Management</c:v>
                </c:pt>
                <c:pt idx="1">
                  <c:v>Fleet &amp; Waste Services</c:v>
                </c:pt>
                <c:pt idx="2">
                  <c:v>Greenspace</c:v>
                </c:pt>
                <c:pt idx="3">
                  <c:v>Roads &amp; Transportation</c:v>
                </c:pt>
              </c:strCache>
            </c:strRef>
          </c:cat>
          <c:val>
            <c:numRef>
              <c:f>'E&amp;N'!$B$430:$B$433</c:f>
              <c:numCache>
                <c:formatCode>General</c:formatCode>
                <c:ptCount val="4"/>
                <c:pt idx="0">
                  <c:v>5</c:v>
                </c:pt>
                <c:pt idx="1">
                  <c:v>2</c:v>
                </c:pt>
                <c:pt idx="2">
                  <c:v>16</c:v>
                </c:pt>
                <c:pt idx="3">
                  <c:v>0</c:v>
                </c:pt>
              </c:numCache>
            </c:numRef>
          </c:val>
        </c:ser>
        <c:dLbls>
          <c:showLegendKey val="0"/>
          <c:showVal val="0"/>
          <c:showCatName val="0"/>
          <c:showSerName val="0"/>
          <c:showPercent val="0"/>
          <c:showBubbleSize val="0"/>
        </c:dLbls>
        <c:gapWidth val="150"/>
        <c:axId val="83224832"/>
        <c:axId val="83308544"/>
      </c:barChart>
      <c:catAx>
        <c:axId val="83224832"/>
        <c:scaling>
          <c:orientation val="minMax"/>
        </c:scaling>
        <c:delete val="0"/>
        <c:axPos val="b"/>
        <c:numFmt formatCode="General" sourceLinked="1"/>
        <c:majorTickMark val="out"/>
        <c:minorTickMark val="none"/>
        <c:tickLblPos val="nextTo"/>
        <c:crossAx val="83308544"/>
        <c:crosses val="autoZero"/>
        <c:auto val="1"/>
        <c:lblAlgn val="ctr"/>
        <c:lblOffset val="100"/>
        <c:noMultiLvlLbl val="0"/>
      </c:catAx>
      <c:valAx>
        <c:axId val="83308544"/>
        <c:scaling>
          <c:orientation val="minMax"/>
        </c:scaling>
        <c:delete val="0"/>
        <c:axPos val="l"/>
        <c:majorGridlines/>
        <c:numFmt formatCode="General" sourceLinked="1"/>
        <c:majorTickMark val="out"/>
        <c:minorTickMark val="none"/>
        <c:tickLblPos val="nextTo"/>
        <c:crossAx val="8322483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644523979957068E-2"/>
          <c:y val="2.6205134586098043E-2"/>
          <c:w val="0.81594941541398236"/>
          <c:h val="0.84474855892385226"/>
        </c:manualLayout>
      </c:layout>
      <c:lineChart>
        <c:grouping val="standard"/>
        <c:varyColors val="0"/>
        <c:ser>
          <c:idx val="0"/>
          <c:order val="0"/>
          <c:tx>
            <c:strRef>
              <c:f>Sheet4!$A$4</c:f>
              <c:strCache>
                <c:ptCount val="1"/>
                <c:pt idx="0">
                  <c:v>2015-16</c:v>
                </c:pt>
              </c:strCache>
            </c:strRef>
          </c:tx>
          <c:dLbls>
            <c:dLbl>
              <c:idx val="0"/>
              <c:layout>
                <c:manualLayout>
                  <c:x val="-3.3333333333333319E-2"/>
                  <c:y val="-4.6296296296296273E-2"/>
                </c:manualLayout>
              </c:layout>
              <c:showLegendKey val="0"/>
              <c:showVal val="1"/>
              <c:showCatName val="0"/>
              <c:showSerName val="0"/>
              <c:showPercent val="0"/>
              <c:showBubbleSize val="0"/>
            </c:dLbl>
            <c:dLbl>
              <c:idx val="1"/>
              <c:layout>
                <c:manualLayout>
                  <c:x val="0"/>
                  <c:y val="-4.1666666666666664E-2"/>
                </c:manualLayout>
              </c:layout>
              <c:showLegendKey val="0"/>
              <c:showVal val="1"/>
              <c:showCatName val="0"/>
              <c:showSerName val="0"/>
              <c:showPercent val="0"/>
              <c:showBubbleSize val="0"/>
            </c:dLbl>
            <c:dLbl>
              <c:idx val="2"/>
              <c:layout>
                <c:manualLayout>
                  <c:x val="-2.7777777777777776E-2"/>
                  <c:y val="-2.7777777777777776E-2"/>
                </c:manualLayout>
              </c:layout>
              <c:showLegendKey val="0"/>
              <c:showVal val="1"/>
              <c:showCatName val="0"/>
              <c:showSerName val="0"/>
              <c:showPercent val="0"/>
              <c:showBubbleSize val="0"/>
            </c:dLbl>
            <c:dLbl>
              <c:idx val="3"/>
              <c:layout>
                <c:manualLayout>
                  <c:x val="-4.1666666666666664E-2"/>
                  <c:y val="6.4814814814814811E-2"/>
                </c:manualLayout>
              </c:layout>
              <c:showLegendKey val="0"/>
              <c:showVal val="1"/>
              <c:showCatName val="0"/>
              <c:showSerName val="0"/>
              <c:showPercent val="0"/>
              <c:showBubbleSize val="0"/>
            </c:dLbl>
            <c:dLbl>
              <c:idx val="4"/>
              <c:layout>
                <c:manualLayout>
                  <c:x val="-3.6111111111111163E-2"/>
                  <c:y val="-5.0925925925925923E-2"/>
                </c:manualLayout>
              </c:layout>
              <c:showLegendKey val="0"/>
              <c:showVal val="1"/>
              <c:showCatName val="0"/>
              <c:showSerName val="0"/>
              <c:showPercent val="0"/>
              <c:showBubbleSize val="0"/>
            </c:dLbl>
            <c:dLbl>
              <c:idx val="5"/>
              <c:layout>
                <c:manualLayout>
                  <c:x val="-0.05"/>
                  <c:y val="-5.0925925925925923E-2"/>
                </c:manualLayout>
              </c:layout>
              <c:showLegendKey val="0"/>
              <c:showVal val="1"/>
              <c:showCatName val="0"/>
              <c:showSerName val="0"/>
              <c:showPercent val="0"/>
              <c:showBubbleSize val="0"/>
            </c:dLbl>
            <c:dLbl>
              <c:idx val="6"/>
              <c:layout>
                <c:manualLayout>
                  <c:x val="-4.1212121212121214E-2"/>
                  <c:y val="-6.441224921488066E-2"/>
                </c:manualLayout>
              </c:layout>
              <c:showLegendKey val="0"/>
              <c:showVal val="1"/>
              <c:showCatName val="0"/>
              <c:showSerName val="0"/>
              <c:showPercent val="0"/>
              <c:showBubbleSize val="0"/>
            </c:dLbl>
            <c:dLbl>
              <c:idx val="7"/>
              <c:layout>
                <c:manualLayout>
                  <c:x val="-3.1515151515151517E-2"/>
                  <c:y val="-5.1529799371904494E-2"/>
                </c:manualLayout>
              </c:layout>
              <c:showLegendKey val="0"/>
              <c:showVal val="1"/>
              <c:showCatName val="0"/>
              <c:showSerName val="0"/>
              <c:showPercent val="0"/>
              <c:showBubbleSize val="0"/>
            </c:dLbl>
            <c:dLbl>
              <c:idx val="8"/>
              <c:layout>
                <c:manualLayout>
                  <c:x val="-3.8787878787878788E-2"/>
                  <c:y val="-6.0118099267221906E-2"/>
                </c:manualLayout>
              </c:layout>
              <c:showLegendKey val="0"/>
              <c:showVal val="1"/>
              <c:showCatName val="0"/>
              <c:showSerName val="0"/>
              <c:showPercent val="0"/>
              <c:showBubbleSize val="0"/>
            </c:dLbl>
            <c:dLbl>
              <c:idx val="9"/>
              <c:layout>
                <c:manualLayout>
                  <c:x val="-4.363636363636364E-2"/>
                  <c:y val="-6.4412249214880618E-2"/>
                </c:manualLayout>
              </c:layout>
              <c:showLegendKey val="0"/>
              <c:showVal val="1"/>
              <c:showCatName val="0"/>
              <c:showSerName val="0"/>
              <c:showPercent val="0"/>
              <c:showBubbleSize val="0"/>
            </c:dLbl>
            <c:dLbl>
              <c:idx val="10"/>
              <c:layout>
                <c:manualLayout>
                  <c:x val="-4.1212121212121124E-2"/>
                  <c:y val="-4.72356494242458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Sheet4!$B$3:$M$3</c:f>
              <c:strCache>
                <c:ptCount val="12"/>
                <c:pt idx="0">
                  <c:v>Apr</c:v>
                </c:pt>
                <c:pt idx="1">
                  <c:v>May</c:v>
                </c:pt>
                <c:pt idx="2">
                  <c:v>Jun</c:v>
                </c:pt>
                <c:pt idx="3">
                  <c:v>Jul</c:v>
                </c:pt>
                <c:pt idx="4">
                  <c:v>Aug</c:v>
                </c:pt>
                <c:pt idx="5">
                  <c:v>Sept</c:v>
                </c:pt>
                <c:pt idx="6">
                  <c:v>Oct</c:v>
                </c:pt>
                <c:pt idx="7">
                  <c:v>Nov</c:v>
                </c:pt>
                <c:pt idx="8">
                  <c:v>Dec</c:v>
                </c:pt>
                <c:pt idx="9">
                  <c:v>Jan</c:v>
                </c:pt>
                <c:pt idx="10">
                  <c:v>Feb</c:v>
                </c:pt>
                <c:pt idx="11">
                  <c:v>Mar</c:v>
                </c:pt>
              </c:strCache>
            </c:strRef>
          </c:cat>
          <c:val>
            <c:numRef>
              <c:f>Sheet4!$B$4:$M$4</c:f>
              <c:numCache>
                <c:formatCode>General</c:formatCode>
                <c:ptCount val="12"/>
                <c:pt idx="0">
                  <c:v>1.22</c:v>
                </c:pt>
                <c:pt idx="1">
                  <c:v>1.0900000000000001</c:v>
                </c:pt>
                <c:pt idx="2">
                  <c:v>0.8</c:v>
                </c:pt>
                <c:pt idx="3">
                  <c:v>0.65</c:v>
                </c:pt>
                <c:pt idx="4">
                  <c:v>0.81</c:v>
                </c:pt>
                <c:pt idx="5">
                  <c:v>1.0900000000000001</c:v>
                </c:pt>
                <c:pt idx="6">
                  <c:v>1.04</c:v>
                </c:pt>
                <c:pt idx="7">
                  <c:v>1.07</c:v>
                </c:pt>
                <c:pt idx="8">
                  <c:v>1.01</c:v>
                </c:pt>
                <c:pt idx="9">
                  <c:v>1.1399999999999999</c:v>
                </c:pt>
                <c:pt idx="10">
                  <c:v>1.22</c:v>
                </c:pt>
                <c:pt idx="11">
                  <c:v>1.03</c:v>
                </c:pt>
              </c:numCache>
            </c:numRef>
          </c:val>
          <c:smooth val="0"/>
        </c:ser>
        <c:ser>
          <c:idx val="1"/>
          <c:order val="1"/>
          <c:tx>
            <c:strRef>
              <c:f>Sheet4!$A$5</c:f>
              <c:strCache>
                <c:ptCount val="1"/>
                <c:pt idx="0">
                  <c:v>2016-17</c:v>
                </c:pt>
              </c:strCache>
            </c:strRef>
          </c:tx>
          <c:dLbls>
            <c:dLbl>
              <c:idx val="0"/>
              <c:layout>
                <c:manualLayout>
                  <c:x val="-4.4444444444444432E-2"/>
                  <c:y val="5.5555555555555552E-2"/>
                </c:manualLayout>
              </c:layout>
              <c:showLegendKey val="0"/>
              <c:showVal val="1"/>
              <c:showCatName val="0"/>
              <c:showSerName val="0"/>
              <c:showPercent val="0"/>
              <c:showBubbleSize val="0"/>
            </c:dLbl>
            <c:dLbl>
              <c:idx val="2"/>
              <c:layout>
                <c:manualLayout>
                  <c:x val="-0.05"/>
                  <c:y val="5.5555555555555552E-2"/>
                </c:manualLayout>
              </c:layout>
              <c:showLegendKey val="0"/>
              <c:showVal val="1"/>
              <c:showCatName val="0"/>
              <c:showSerName val="0"/>
              <c:showPercent val="0"/>
              <c:showBubbleSize val="0"/>
            </c:dLbl>
            <c:dLbl>
              <c:idx val="3"/>
              <c:layout>
                <c:manualLayout>
                  <c:x val="-3.6111111111111108E-2"/>
                  <c:y val="-7.8703703703703706E-2"/>
                </c:manualLayout>
              </c:layout>
              <c:showLegendKey val="0"/>
              <c:showVal val="1"/>
              <c:showCatName val="0"/>
              <c:showSerName val="0"/>
              <c:showPercent val="0"/>
              <c:showBubbleSize val="0"/>
            </c:dLbl>
            <c:dLbl>
              <c:idx val="4"/>
              <c:layout>
                <c:manualLayout>
                  <c:x val="-1.388888888888894E-2"/>
                  <c:y val="3.2407407407407406E-2"/>
                </c:manualLayout>
              </c:layout>
              <c:showLegendKey val="0"/>
              <c:showVal val="1"/>
              <c:showCatName val="0"/>
              <c:showSerName val="0"/>
              <c:showPercent val="0"/>
              <c:showBubbleSize val="0"/>
            </c:dLbl>
            <c:dLbl>
              <c:idx val="5"/>
              <c:layout>
                <c:manualLayout>
                  <c:x val="-2.7777777777777776E-2"/>
                  <c:y val="5.5555555555555552E-2"/>
                </c:manualLayout>
              </c:layout>
              <c:showLegendKey val="0"/>
              <c:showVal val="1"/>
              <c:showCatName val="0"/>
              <c:showSerName val="0"/>
              <c:showPercent val="0"/>
              <c:showBubbleSize val="0"/>
            </c:dLbl>
            <c:dLbl>
              <c:idx val="6"/>
              <c:layout>
                <c:manualLayout>
                  <c:x val="-2.4242424242424242E-2"/>
                  <c:y val="5.1529799371904494E-2"/>
                </c:manualLayout>
              </c:layout>
              <c:showLegendKey val="0"/>
              <c:showVal val="1"/>
              <c:showCatName val="0"/>
              <c:showSerName val="0"/>
              <c:showPercent val="0"/>
              <c:showBubbleSize val="0"/>
            </c:dLbl>
            <c:dLbl>
              <c:idx val="7"/>
              <c:layout>
                <c:manualLayout>
                  <c:x val="-4.1212121212121214E-2"/>
                  <c:y val="7.3000549110198029E-2"/>
                </c:manualLayout>
              </c:layout>
              <c:showLegendKey val="0"/>
              <c:showVal val="1"/>
              <c:showCatName val="0"/>
              <c:showSerName val="0"/>
              <c:showPercent val="0"/>
              <c:showBubbleSize val="0"/>
            </c:dLbl>
            <c:dLbl>
              <c:idx val="8"/>
              <c:layout>
                <c:manualLayout>
                  <c:x val="-4.1212121212121214E-2"/>
                  <c:y val="6.0118099267221906E-2"/>
                </c:manualLayout>
              </c:layout>
              <c:showLegendKey val="0"/>
              <c:showVal val="1"/>
              <c:showCatName val="0"/>
              <c:showSerName val="0"/>
              <c:showPercent val="0"/>
              <c:showBubbleSize val="0"/>
            </c:dLbl>
            <c:dLbl>
              <c:idx val="9"/>
              <c:layout>
                <c:manualLayout>
                  <c:x val="-4.6060606060606059E-2"/>
                  <c:y val="6.4412249214880618E-2"/>
                </c:manualLayout>
              </c:layout>
              <c:showLegendKey val="0"/>
              <c:showVal val="1"/>
              <c:showCatName val="0"/>
              <c:showSerName val="0"/>
              <c:showPercent val="0"/>
              <c:showBubbleSize val="0"/>
            </c:dLbl>
            <c:dLbl>
              <c:idx val="10"/>
              <c:layout>
                <c:manualLayout>
                  <c:x val="-3.1515151515151427E-2"/>
                  <c:y val="6.87063991625393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Sheet4!$B$3:$M$3</c:f>
              <c:strCache>
                <c:ptCount val="12"/>
                <c:pt idx="0">
                  <c:v>Apr</c:v>
                </c:pt>
                <c:pt idx="1">
                  <c:v>May</c:v>
                </c:pt>
                <c:pt idx="2">
                  <c:v>Jun</c:v>
                </c:pt>
                <c:pt idx="3">
                  <c:v>Jul</c:v>
                </c:pt>
                <c:pt idx="4">
                  <c:v>Aug</c:v>
                </c:pt>
                <c:pt idx="5">
                  <c:v>Sept</c:v>
                </c:pt>
                <c:pt idx="6">
                  <c:v>Oct</c:v>
                </c:pt>
                <c:pt idx="7">
                  <c:v>Nov</c:v>
                </c:pt>
                <c:pt idx="8">
                  <c:v>Dec</c:v>
                </c:pt>
                <c:pt idx="9">
                  <c:v>Jan</c:v>
                </c:pt>
                <c:pt idx="10">
                  <c:v>Feb</c:v>
                </c:pt>
                <c:pt idx="11">
                  <c:v>Mar</c:v>
                </c:pt>
              </c:strCache>
            </c:strRef>
          </c:cat>
          <c:val>
            <c:numRef>
              <c:f>Sheet4!$B$5:$M$5</c:f>
              <c:numCache>
                <c:formatCode>General</c:formatCode>
                <c:ptCount val="12"/>
                <c:pt idx="0">
                  <c:v>0.85</c:v>
                </c:pt>
                <c:pt idx="1">
                  <c:v>0.98</c:v>
                </c:pt>
                <c:pt idx="2">
                  <c:v>0.78</c:v>
                </c:pt>
                <c:pt idx="3">
                  <c:v>0.68</c:v>
                </c:pt>
                <c:pt idx="4">
                  <c:v>0.68</c:v>
                </c:pt>
                <c:pt idx="5">
                  <c:v>0.85</c:v>
                </c:pt>
                <c:pt idx="6">
                  <c:v>0.86</c:v>
                </c:pt>
                <c:pt idx="7">
                  <c:v>1.01</c:v>
                </c:pt>
                <c:pt idx="8">
                  <c:v>0.97</c:v>
                </c:pt>
                <c:pt idx="9">
                  <c:v>0.93</c:v>
                </c:pt>
                <c:pt idx="10">
                  <c:v>0.93</c:v>
                </c:pt>
                <c:pt idx="11">
                  <c:v>1.37</c:v>
                </c:pt>
              </c:numCache>
            </c:numRef>
          </c:val>
          <c:smooth val="0"/>
        </c:ser>
        <c:dLbls>
          <c:showLegendKey val="0"/>
          <c:showVal val="0"/>
          <c:showCatName val="0"/>
          <c:showSerName val="0"/>
          <c:showPercent val="0"/>
          <c:showBubbleSize val="0"/>
        </c:dLbls>
        <c:marker val="1"/>
        <c:smooth val="0"/>
        <c:axId val="83350656"/>
        <c:axId val="83352192"/>
      </c:lineChart>
      <c:catAx>
        <c:axId val="83350656"/>
        <c:scaling>
          <c:orientation val="minMax"/>
        </c:scaling>
        <c:delete val="0"/>
        <c:axPos val="b"/>
        <c:majorTickMark val="out"/>
        <c:minorTickMark val="none"/>
        <c:tickLblPos val="nextTo"/>
        <c:crossAx val="83352192"/>
        <c:crosses val="autoZero"/>
        <c:auto val="1"/>
        <c:lblAlgn val="ctr"/>
        <c:lblOffset val="100"/>
        <c:noMultiLvlLbl val="0"/>
      </c:catAx>
      <c:valAx>
        <c:axId val="83352192"/>
        <c:scaling>
          <c:orientation val="minMax"/>
        </c:scaling>
        <c:delete val="0"/>
        <c:axPos val="l"/>
        <c:majorGridlines/>
        <c:numFmt formatCode="General" sourceLinked="1"/>
        <c:majorTickMark val="out"/>
        <c:minorTickMark val="none"/>
        <c:tickLblPos val="nextTo"/>
        <c:crossAx val="8335065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lgn="l">
              <a:defRPr sz="120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Headcount </a:t>
            </a:r>
          </a:p>
          <a:p>
            <a:pPr algn="l">
              <a:defRPr sz="120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by Contract Type</a:t>
            </a:r>
          </a:p>
        </c:rich>
      </c:tx>
      <c:layout>
        <c:manualLayout>
          <c:xMode val="edge"/>
          <c:yMode val="edge"/>
          <c:x val="2.0568865217388748E-2"/>
          <c:y val="2.0245322294372089E-2"/>
        </c:manualLayout>
      </c:layout>
      <c:overlay val="0"/>
    </c:title>
    <c:autoTitleDeleted val="0"/>
    <c:plotArea>
      <c:layout>
        <c:manualLayout>
          <c:layoutTarget val="inner"/>
          <c:xMode val="edge"/>
          <c:yMode val="edge"/>
          <c:x val="0.3878302155637629"/>
          <c:y val="0.15693153605883195"/>
          <c:w val="0.47591443819641838"/>
          <c:h val="0.77363721083861225"/>
        </c:manualLayout>
      </c:layout>
      <c:pieChart>
        <c:varyColors val="1"/>
        <c:ser>
          <c:idx val="0"/>
          <c:order val="0"/>
          <c:tx>
            <c:strRef>
              <c:f>'E&amp;N'!$A$11</c:f>
              <c:strCache>
                <c:ptCount val="1"/>
                <c:pt idx="0">
                  <c:v>Environment &amp; Neighbourhood Total</c:v>
                </c:pt>
              </c:strCache>
            </c:strRef>
          </c:tx>
          <c:dLbls>
            <c:dLbl>
              <c:idx val="0"/>
              <c:layout>
                <c:manualLayout>
                  <c:x val="-0.14875221552571383"/>
                  <c:y val="-0.16208787617642062"/>
                </c:manualLayout>
              </c:layout>
              <c:showLegendKey val="0"/>
              <c:showVal val="0"/>
              <c:showCatName val="1"/>
              <c:showSerName val="0"/>
              <c:showPercent val="1"/>
              <c:showBubbleSize val="0"/>
            </c:dLbl>
            <c:dLbl>
              <c:idx val="2"/>
              <c:layout>
                <c:manualLayout>
                  <c:x val="5.1379602983283701E-2"/>
                  <c:y val="2.8096991322889512E-2"/>
                </c:manualLayout>
              </c:layout>
              <c:showLegendKey val="0"/>
              <c:showVal val="0"/>
              <c:showCatName val="1"/>
              <c:showSerName val="0"/>
              <c:showPercent val="1"/>
              <c:showBubbleSize val="0"/>
            </c:dLbl>
            <c:dLbl>
              <c:idx val="3"/>
              <c:layout>
                <c:manualLayout>
                  <c:x val="5.5881947414986283E-2"/>
                  <c:y val="-0.1328816449271296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'E&amp;N'!$B$6:$E$6</c:f>
              <c:strCache>
                <c:ptCount val="4"/>
                <c:pt idx="0">
                  <c:v>Apprentice</c:v>
                </c:pt>
                <c:pt idx="1">
                  <c:v>Casual</c:v>
                </c:pt>
                <c:pt idx="2">
                  <c:v>Fixed-Term</c:v>
                </c:pt>
                <c:pt idx="3">
                  <c:v>Permanent</c:v>
                </c:pt>
              </c:strCache>
            </c:strRef>
          </c:cat>
          <c:val>
            <c:numRef>
              <c:f>'E&amp;N'!$B$11:$E$11</c:f>
              <c:numCache>
                <c:formatCode>General</c:formatCode>
                <c:ptCount val="4"/>
                <c:pt idx="0">
                  <c:v>21</c:v>
                </c:pt>
                <c:pt idx="1">
                  <c:v>0</c:v>
                </c:pt>
                <c:pt idx="2">
                  <c:v>48</c:v>
                </c:pt>
                <c:pt idx="3">
                  <c:v>872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a:t>FTE</a:t>
            </a:r>
          </a:p>
        </c:rich>
      </c:tx>
      <c:layout>
        <c:manualLayout>
          <c:xMode val="edge"/>
          <c:yMode val="edge"/>
          <c:x val="4.4782933338762973E-2"/>
          <c:y val="2.4207898192127476E-2"/>
        </c:manualLayout>
      </c:layout>
      <c:overlay val="0"/>
    </c:title>
    <c:autoTitleDeleted val="0"/>
    <c:plotArea>
      <c:layout/>
      <c:barChart>
        <c:barDir val="col"/>
        <c:grouping val="clustered"/>
        <c:varyColors val="0"/>
        <c:ser>
          <c:idx val="0"/>
          <c:order val="0"/>
          <c:tx>
            <c:strRef>
              <c:f>'E&amp;N'!$F$35</c:f>
              <c:strCache>
                <c:ptCount val="1"/>
                <c:pt idx="0">
                  <c:v>Total</c:v>
                </c:pt>
              </c:strCache>
            </c:strRef>
          </c:tx>
          <c:invertIfNegative val="0"/>
          <c:cat>
            <c:strRef>
              <c:f>'E&amp;N'!$A$36:$A$39</c:f>
              <c:strCache>
                <c:ptCount val="4"/>
                <c:pt idx="0">
                  <c:v>Facilities Management</c:v>
                </c:pt>
                <c:pt idx="1">
                  <c:v>Fleet &amp; Waste Services</c:v>
                </c:pt>
                <c:pt idx="2">
                  <c:v>Greenspace</c:v>
                </c:pt>
                <c:pt idx="3">
                  <c:v>Roads &amp; Transportation</c:v>
                </c:pt>
              </c:strCache>
            </c:strRef>
          </c:cat>
          <c:val>
            <c:numRef>
              <c:f>'E&amp;N'!$F$36:$F$39</c:f>
              <c:numCache>
                <c:formatCode>0.00</c:formatCode>
                <c:ptCount val="4"/>
                <c:pt idx="0">
                  <c:v>275.47058349999998</c:v>
                </c:pt>
                <c:pt idx="1">
                  <c:v>110.77567999999999</c:v>
                </c:pt>
                <c:pt idx="2">
                  <c:v>168.50675189999998</c:v>
                </c:pt>
                <c:pt idx="3">
                  <c:v>60.712152000000003</c:v>
                </c:pt>
              </c:numCache>
            </c:numRef>
          </c:val>
        </c:ser>
        <c:dLbls>
          <c:showLegendKey val="0"/>
          <c:showVal val="0"/>
          <c:showCatName val="0"/>
          <c:showSerName val="0"/>
          <c:showPercent val="0"/>
          <c:showBubbleSize val="0"/>
        </c:dLbls>
        <c:gapWidth val="150"/>
        <c:axId val="77633792"/>
        <c:axId val="77635584"/>
      </c:barChart>
      <c:catAx>
        <c:axId val="77633792"/>
        <c:scaling>
          <c:orientation val="minMax"/>
        </c:scaling>
        <c:delete val="0"/>
        <c:axPos val="b"/>
        <c:numFmt formatCode="General" sourceLinked="1"/>
        <c:majorTickMark val="out"/>
        <c:minorTickMark val="none"/>
        <c:tickLblPos val="nextTo"/>
        <c:crossAx val="77635584"/>
        <c:crosses val="autoZero"/>
        <c:auto val="1"/>
        <c:lblAlgn val="ctr"/>
        <c:lblOffset val="100"/>
        <c:noMultiLvlLbl val="0"/>
      </c:catAx>
      <c:valAx>
        <c:axId val="77635584"/>
        <c:scaling>
          <c:orientation val="minMax"/>
        </c:scaling>
        <c:delete val="0"/>
        <c:axPos val="l"/>
        <c:majorGridlines/>
        <c:numFmt formatCode="0.00" sourceLinked="1"/>
        <c:majorTickMark val="out"/>
        <c:minorTickMark val="none"/>
        <c:tickLblPos val="nextTo"/>
        <c:crossAx val="7763379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lgn="l">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FTE </a:t>
            </a:r>
          </a:p>
          <a:p>
            <a:pPr algn="l">
              <a:defRPr sz="1200">
                <a:latin typeface="Arial" panose="020B0604020202020204" pitchFamily="34" charset="0"/>
                <a:cs typeface="Arial" panose="020B0604020202020204" pitchFamily="34" charset="0"/>
              </a:defRPr>
            </a:pPr>
            <a:r>
              <a:rPr lang="en-US" sz="1200">
                <a:latin typeface="Arial" panose="020B0604020202020204" pitchFamily="34" charset="0"/>
                <a:cs typeface="Arial" panose="020B0604020202020204" pitchFamily="34" charset="0"/>
              </a:rPr>
              <a:t>by Contract Type</a:t>
            </a:r>
          </a:p>
        </c:rich>
      </c:tx>
      <c:layout>
        <c:manualLayout>
          <c:xMode val="edge"/>
          <c:yMode val="edge"/>
          <c:x val="2.9279773781511483E-2"/>
          <c:y val="3.6183023419248228E-2"/>
        </c:manualLayout>
      </c:layout>
      <c:overlay val="0"/>
    </c:title>
    <c:autoTitleDeleted val="0"/>
    <c:plotArea>
      <c:layout>
        <c:manualLayout>
          <c:layoutTarget val="inner"/>
          <c:xMode val="edge"/>
          <c:yMode val="edge"/>
          <c:x val="0.38565585926681445"/>
          <c:y val="0.15224125814355449"/>
          <c:w val="0.49829178387454198"/>
          <c:h val="0.80249862295580165"/>
        </c:manualLayout>
      </c:layout>
      <c:pieChart>
        <c:varyColors val="1"/>
        <c:ser>
          <c:idx val="0"/>
          <c:order val="0"/>
          <c:tx>
            <c:strRef>
              <c:f>'E&amp;N'!$A$40</c:f>
              <c:strCache>
                <c:ptCount val="1"/>
                <c:pt idx="0">
                  <c:v>Environment &amp; Neighbourhood Total</c:v>
                </c:pt>
              </c:strCache>
            </c:strRef>
          </c:tx>
          <c:dLbls>
            <c:dLbl>
              <c:idx val="0"/>
              <c:layout>
                <c:manualLayout>
                  <c:x val="-0.11594326532770408"/>
                  <c:y val="-4.2545917301373241E-3"/>
                </c:manualLayout>
              </c:layout>
              <c:showLegendKey val="0"/>
              <c:showVal val="0"/>
              <c:showCatName val="1"/>
              <c:showSerName val="0"/>
              <c:showPercent val="1"/>
              <c:showBubbleSize val="0"/>
            </c:dLbl>
            <c:dLbl>
              <c:idx val="1"/>
              <c:layout>
                <c:manualLayout>
                  <c:x val="-2.3419691237551925E-2"/>
                  <c:y val="1.7738545208202752E-2"/>
                </c:manualLayout>
              </c:layout>
              <c:showLegendKey val="0"/>
              <c:showVal val="0"/>
              <c:showCatName val="1"/>
              <c:showSerName val="0"/>
              <c:showPercent val="1"/>
              <c:showBubbleSize val="0"/>
            </c:dLbl>
            <c:dLbl>
              <c:idx val="2"/>
              <c:layout>
                <c:manualLayout>
                  <c:x val="6.5762537024781076E-2"/>
                  <c:y val="2.9195552938643968E-2"/>
                </c:manualLayout>
              </c:layout>
              <c:showLegendKey val="0"/>
              <c:showVal val="0"/>
              <c:showCatName val="1"/>
              <c:showSerName val="0"/>
              <c:showPercent val="1"/>
              <c:showBubbleSize val="0"/>
            </c:dLbl>
            <c:dLbl>
              <c:idx val="3"/>
              <c:layout>
                <c:manualLayout>
                  <c:x val="5.2576221073299487E-3"/>
                  <c:y val="-0.15679310148340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'E&amp;N'!$B$35:$E$35</c:f>
              <c:strCache>
                <c:ptCount val="4"/>
                <c:pt idx="0">
                  <c:v>Apprentice</c:v>
                </c:pt>
                <c:pt idx="1">
                  <c:v>Casual</c:v>
                </c:pt>
                <c:pt idx="2">
                  <c:v>Fixed-Term</c:v>
                </c:pt>
                <c:pt idx="3">
                  <c:v>Permanent</c:v>
                </c:pt>
              </c:strCache>
            </c:strRef>
          </c:cat>
          <c:val>
            <c:numRef>
              <c:f>'E&amp;N'!$B$40:$E$40</c:f>
              <c:numCache>
                <c:formatCode>0.00</c:formatCode>
                <c:ptCount val="4"/>
                <c:pt idx="0">
                  <c:v>20.945945999999999</c:v>
                </c:pt>
                <c:pt idx="1">
                  <c:v>0</c:v>
                </c:pt>
                <c:pt idx="2">
                  <c:v>11.5844594</c:v>
                </c:pt>
                <c:pt idx="3">
                  <c:v>582.93476200000009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Contract</a:t>
            </a:r>
            <a:r>
              <a:rPr lang="en-GB" sz="1400" baseline="0"/>
              <a:t> Status - Headcount</a:t>
            </a:r>
            <a:endParaRPr lang="en-GB" sz="1400"/>
          </a:p>
        </c:rich>
      </c:tx>
      <c:overlay val="0"/>
    </c:title>
    <c:autoTitleDeleted val="0"/>
    <c:plotArea>
      <c:layout/>
      <c:barChart>
        <c:barDir val="col"/>
        <c:grouping val="clustered"/>
        <c:varyColors val="0"/>
        <c:ser>
          <c:idx val="0"/>
          <c:order val="0"/>
          <c:tx>
            <c:strRef>
              <c:f>'E&amp;N'!$B$95</c:f>
              <c:strCache>
                <c:ptCount val="1"/>
                <c:pt idx="0">
                  <c:v>Full-Time</c:v>
                </c:pt>
              </c:strCache>
            </c:strRef>
          </c:tx>
          <c:invertIfNegative val="0"/>
          <c:cat>
            <c:strRef>
              <c:f>'E&amp;N'!$A$96:$A$99</c:f>
              <c:strCache>
                <c:ptCount val="4"/>
                <c:pt idx="0">
                  <c:v>Facilities Management</c:v>
                </c:pt>
                <c:pt idx="1">
                  <c:v>Fleet &amp; Waste Services</c:v>
                </c:pt>
                <c:pt idx="2">
                  <c:v>Greenspace</c:v>
                </c:pt>
                <c:pt idx="3">
                  <c:v>Roads &amp; Transportation</c:v>
                </c:pt>
              </c:strCache>
            </c:strRef>
          </c:cat>
          <c:val>
            <c:numRef>
              <c:f>'E&amp;N'!$B$96:$B$99</c:f>
              <c:numCache>
                <c:formatCode>0</c:formatCode>
                <c:ptCount val="4"/>
                <c:pt idx="0">
                  <c:v>48</c:v>
                </c:pt>
                <c:pt idx="1">
                  <c:v>108</c:v>
                </c:pt>
                <c:pt idx="2">
                  <c:v>189</c:v>
                </c:pt>
                <c:pt idx="3">
                  <c:v>53</c:v>
                </c:pt>
              </c:numCache>
            </c:numRef>
          </c:val>
        </c:ser>
        <c:ser>
          <c:idx val="1"/>
          <c:order val="1"/>
          <c:tx>
            <c:strRef>
              <c:f>'E&amp;N'!$C$95</c:f>
              <c:strCache>
                <c:ptCount val="1"/>
                <c:pt idx="0">
                  <c:v>Part-Time</c:v>
                </c:pt>
              </c:strCache>
            </c:strRef>
          </c:tx>
          <c:invertIfNegative val="0"/>
          <c:cat>
            <c:strRef>
              <c:f>'E&amp;N'!$A$96:$A$99</c:f>
              <c:strCache>
                <c:ptCount val="4"/>
                <c:pt idx="0">
                  <c:v>Facilities Management</c:v>
                </c:pt>
                <c:pt idx="1">
                  <c:v>Fleet &amp; Waste Services</c:v>
                </c:pt>
                <c:pt idx="2">
                  <c:v>Greenspace</c:v>
                </c:pt>
                <c:pt idx="3">
                  <c:v>Roads &amp; Transportation</c:v>
                </c:pt>
              </c:strCache>
            </c:strRef>
          </c:cat>
          <c:val>
            <c:numRef>
              <c:f>'E&amp;N'!$C$96:$C$99</c:f>
              <c:numCache>
                <c:formatCode>0</c:formatCode>
                <c:ptCount val="4"/>
                <c:pt idx="0">
                  <c:v>475</c:v>
                </c:pt>
                <c:pt idx="1">
                  <c:v>4</c:v>
                </c:pt>
                <c:pt idx="2">
                  <c:v>22</c:v>
                </c:pt>
                <c:pt idx="3">
                  <c:v>42</c:v>
                </c:pt>
              </c:numCache>
            </c:numRef>
          </c:val>
        </c:ser>
        <c:ser>
          <c:idx val="2"/>
          <c:order val="2"/>
          <c:tx>
            <c:strRef>
              <c:f>'E&amp;N'!$D$95</c:f>
              <c:strCache>
                <c:ptCount val="1"/>
                <c:pt idx="0">
                  <c:v>Casual</c:v>
                </c:pt>
              </c:strCache>
            </c:strRef>
          </c:tx>
          <c:invertIfNegative val="0"/>
          <c:cat>
            <c:strRef>
              <c:f>'E&amp;N'!$A$96:$A$99</c:f>
              <c:strCache>
                <c:ptCount val="4"/>
                <c:pt idx="0">
                  <c:v>Facilities Management</c:v>
                </c:pt>
                <c:pt idx="1">
                  <c:v>Fleet &amp; Waste Services</c:v>
                </c:pt>
                <c:pt idx="2">
                  <c:v>Greenspace</c:v>
                </c:pt>
                <c:pt idx="3">
                  <c:v>Roads &amp; Transportation</c:v>
                </c:pt>
              </c:strCache>
            </c:strRef>
          </c:cat>
          <c:val>
            <c:numRef>
              <c:f>'E&amp;N'!$D$96:$D$99</c:f>
              <c:numCache>
                <c:formatCode>0</c:formatCode>
                <c:ptCount val="4"/>
                <c:pt idx="0">
                  <c:v>0</c:v>
                </c:pt>
                <c:pt idx="1">
                  <c:v>0</c:v>
                </c:pt>
                <c:pt idx="2">
                  <c:v>0</c:v>
                </c:pt>
                <c:pt idx="3">
                  <c:v>0</c:v>
                </c:pt>
              </c:numCache>
            </c:numRef>
          </c:val>
        </c:ser>
        <c:dLbls>
          <c:showLegendKey val="0"/>
          <c:showVal val="0"/>
          <c:showCatName val="0"/>
          <c:showSerName val="0"/>
          <c:showPercent val="0"/>
          <c:showBubbleSize val="0"/>
        </c:dLbls>
        <c:gapWidth val="150"/>
        <c:axId val="73928704"/>
        <c:axId val="73930240"/>
      </c:barChart>
      <c:catAx>
        <c:axId val="73928704"/>
        <c:scaling>
          <c:orientation val="minMax"/>
        </c:scaling>
        <c:delete val="0"/>
        <c:axPos val="b"/>
        <c:numFmt formatCode="General" sourceLinked="1"/>
        <c:majorTickMark val="out"/>
        <c:minorTickMark val="none"/>
        <c:tickLblPos val="nextTo"/>
        <c:crossAx val="73930240"/>
        <c:crosses val="autoZero"/>
        <c:auto val="1"/>
        <c:lblAlgn val="ctr"/>
        <c:lblOffset val="100"/>
        <c:noMultiLvlLbl val="0"/>
      </c:catAx>
      <c:valAx>
        <c:axId val="73930240"/>
        <c:scaling>
          <c:orientation val="minMax"/>
        </c:scaling>
        <c:delete val="0"/>
        <c:axPos val="l"/>
        <c:majorGridlines/>
        <c:numFmt formatCode="0" sourceLinked="1"/>
        <c:majorTickMark val="out"/>
        <c:minorTickMark val="none"/>
        <c:tickLblPos val="nextTo"/>
        <c:crossAx val="7392870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Number of staff under each grade</a:t>
            </a:r>
          </a:p>
        </c:rich>
      </c:tx>
      <c:overlay val="0"/>
    </c:title>
    <c:autoTitleDeleted val="0"/>
    <c:plotArea>
      <c:layout/>
      <c:barChart>
        <c:barDir val="col"/>
        <c:grouping val="clustered"/>
        <c:varyColors val="0"/>
        <c:ser>
          <c:idx val="0"/>
          <c:order val="0"/>
          <c:tx>
            <c:strRef>
              <c:f>'E&amp;N'!$A$134</c:f>
              <c:strCache>
                <c:ptCount val="1"/>
                <c:pt idx="0">
                  <c:v>Environment &amp; Neighbourhood Total</c:v>
                </c:pt>
              </c:strCache>
            </c:strRef>
          </c:tx>
          <c:invertIfNegative val="0"/>
          <c:cat>
            <c:strRef>
              <c:f>'E&amp;N'!$B$129:$L$129</c:f>
              <c:strCache>
                <c:ptCount val="11"/>
                <c:pt idx="0">
                  <c:v>Grade 1</c:v>
                </c:pt>
                <c:pt idx="1">
                  <c:v>Grade 2</c:v>
                </c:pt>
                <c:pt idx="2">
                  <c:v>Grade 3</c:v>
                </c:pt>
                <c:pt idx="3">
                  <c:v>Grade 4</c:v>
                </c:pt>
                <c:pt idx="4">
                  <c:v>Grade 5</c:v>
                </c:pt>
                <c:pt idx="5">
                  <c:v>Grade 6</c:v>
                </c:pt>
                <c:pt idx="6">
                  <c:v>Grade 7</c:v>
                </c:pt>
                <c:pt idx="7">
                  <c:v>Grade 8</c:v>
                </c:pt>
                <c:pt idx="8">
                  <c:v>Grade 9</c:v>
                </c:pt>
                <c:pt idx="9">
                  <c:v>Grade 11</c:v>
                </c:pt>
                <c:pt idx="10">
                  <c:v>Mod Appren</c:v>
                </c:pt>
              </c:strCache>
            </c:strRef>
          </c:cat>
          <c:val>
            <c:numRef>
              <c:f>'E&amp;N'!$B$134:$L$134</c:f>
              <c:numCache>
                <c:formatCode>General</c:formatCode>
                <c:ptCount val="11"/>
                <c:pt idx="0">
                  <c:v>203</c:v>
                </c:pt>
                <c:pt idx="1">
                  <c:v>51</c:v>
                </c:pt>
                <c:pt idx="2">
                  <c:v>357</c:v>
                </c:pt>
                <c:pt idx="3">
                  <c:v>109</c:v>
                </c:pt>
                <c:pt idx="4">
                  <c:v>132</c:v>
                </c:pt>
                <c:pt idx="5">
                  <c:v>41</c:v>
                </c:pt>
                <c:pt idx="6">
                  <c:v>9</c:v>
                </c:pt>
                <c:pt idx="7">
                  <c:v>13</c:v>
                </c:pt>
                <c:pt idx="8">
                  <c:v>3</c:v>
                </c:pt>
                <c:pt idx="9">
                  <c:v>4</c:v>
                </c:pt>
                <c:pt idx="10">
                  <c:v>21</c:v>
                </c:pt>
              </c:numCache>
            </c:numRef>
          </c:val>
        </c:ser>
        <c:dLbls>
          <c:showLegendKey val="0"/>
          <c:showVal val="0"/>
          <c:showCatName val="0"/>
          <c:showSerName val="0"/>
          <c:showPercent val="0"/>
          <c:showBubbleSize val="0"/>
        </c:dLbls>
        <c:gapWidth val="150"/>
        <c:axId val="77694848"/>
        <c:axId val="77696384"/>
      </c:barChart>
      <c:catAx>
        <c:axId val="77694848"/>
        <c:scaling>
          <c:orientation val="minMax"/>
        </c:scaling>
        <c:delete val="0"/>
        <c:axPos val="b"/>
        <c:majorTickMark val="out"/>
        <c:minorTickMark val="none"/>
        <c:tickLblPos val="nextTo"/>
        <c:crossAx val="77696384"/>
        <c:crosses val="autoZero"/>
        <c:auto val="1"/>
        <c:lblAlgn val="ctr"/>
        <c:lblOffset val="100"/>
        <c:noMultiLvlLbl val="0"/>
      </c:catAx>
      <c:valAx>
        <c:axId val="77696384"/>
        <c:scaling>
          <c:orientation val="minMax"/>
        </c:scaling>
        <c:delete val="0"/>
        <c:axPos val="l"/>
        <c:majorGridlines/>
        <c:numFmt formatCode="General" sourceLinked="1"/>
        <c:majorTickMark val="out"/>
        <c:minorTickMark val="none"/>
        <c:tickLblPos val="nextTo"/>
        <c:crossAx val="7769484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Percentage of staff under each grade</a:t>
            </a:r>
          </a:p>
        </c:rich>
      </c:tx>
      <c:overlay val="0"/>
    </c:title>
    <c:autoTitleDeleted val="0"/>
    <c:plotArea>
      <c:layout/>
      <c:barChart>
        <c:barDir val="col"/>
        <c:grouping val="clustered"/>
        <c:varyColors val="0"/>
        <c:ser>
          <c:idx val="0"/>
          <c:order val="0"/>
          <c:tx>
            <c:strRef>
              <c:f>'E&amp;N'!$A$142</c:f>
              <c:strCache>
                <c:ptCount val="1"/>
                <c:pt idx="0">
                  <c:v> Total</c:v>
                </c:pt>
              </c:strCache>
            </c:strRef>
          </c:tx>
          <c:invertIfNegative val="0"/>
          <c:cat>
            <c:strRef>
              <c:f>'E&amp;N'!$B$137:$L$137</c:f>
              <c:strCache>
                <c:ptCount val="11"/>
                <c:pt idx="0">
                  <c:v>Grade 1</c:v>
                </c:pt>
                <c:pt idx="1">
                  <c:v>Grade 2</c:v>
                </c:pt>
                <c:pt idx="2">
                  <c:v>Grade 3</c:v>
                </c:pt>
                <c:pt idx="3">
                  <c:v>Grade 4</c:v>
                </c:pt>
                <c:pt idx="4">
                  <c:v>Grade 5</c:v>
                </c:pt>
                <c:pt idx="5">
                  <c:v>Grade 6</c:v>
                </c:pt>
                <c:pt idx="6">
                  <c:v>Grade 7</c:v>
                </c:pt>
                <c:pt idx="7">
                  <c:v>Grade 8</c:v>
                </c:pt>
                <c:pt idx="8">
                  <c:v>Grade 9</c:v>
                </c:pt>
                <c:pt idx="9">
                  <c:v>Grade 11</c:v>
                </c:pt>
                <c:pt idx="10">
                  <c:v>Mod Appren</c:v>
                </c:pt>
              </c:strCache>
            </c:strRef>
          </c:cat>
          <c:val>
            <c:numRef>
              <c:f>'E&amp;N'!$B$142:$L$142</c:f>
              <c:numCache>
                <c:formatCode>0.0%</c:formatCode>
                <c:ptCount val="11"/>
                <c:pt idx="0">
                  <c:v>0.21527041357370094</c:v>
                </c:pt>
                <c:pt idx="1">
                  <c:v>5.4082714740190878E-2</c:v>
                </c:pt>
                <c:pt idx="2">
                  <c:v>0.37857900318133614</c:v>
                </c:pt>
                <c:pt idx="3">
                  <c:v>0.11558854718981973</c:v>
                </c:pt>
                <c:pt idx="4">
                  <c:v>0.13997879109225875</c:v>
                </c:pt>
                <c:pt idx="5">
                  <c:v>4.3478260869565216E-2</c:v>
                </c:pt>
                <c:pt idx="6">
                  <c:v>9.5440084835630972E-3</c:v>
                </c:pt>
                <c:pt idx="7">
                  <c:v>1.3785790031813362E-2</c:v>
                </c:pt>
                <c:pt idx="8">
                  <c:v>3.1813361611876989E-3</c:v>
                </c:pt>
                <c:pt idx="9">
                  <c:v>4.2417815482502655E-3</c:v>
                </c:pt>
                <c:pt idx="10">
                  <c:v>2.2269353128313893E-2</c:v>
                </c:pt>
              </c:numCache>
            </c:numRef>
          </c:val>
        </c:ser>
        <c:dLbls>
          <c:showLegendKey val="0"/>
          <c:showVal val="0"/>
          <c:showCatName val="0"/>
          <c:showSerName val="0"/>
          <c:showPercent val="0"/>
          <c:showBubbleSize val="0"/>
        </c:dLbls>
        <c:gapWidth val="150"/>
        <c:axId val="77712384"/>
        <c:axId val="53416704"/>
      </c:barChart>
      <c:catAx>
        <c:axId val="77712384"/>
        <c:scaling>
          <c:orientation val="minMax"/>
        </c:scaling>
        <c:delete val="0"/>
        <c:axPos val="b"/>
        <c:majorTickMark val="out"/>
        <c:minorTickMark val="none"/>
        <c:tickLblPos val="nextTo"/>
        <c:crossAx val="53416704"/>
        <c:crosses val="autoZero"/>
        <c:auto val="1"/>
        <c:lblAlgn val="ctr"/>
        <c:lblOffset val="100"/>
        <c:noMultiLvlLbl val="0"/>
      </c:catAx>
      <c:valAx>
        <c:axId val="53416704"/>
        <c:scaling>
          <c:orientation val="minMax"/>
        </c:scaling>
        <c:delete val="0"/>
        <c:axPos val="l"/>
        <c:majorGridlines/>
        <c:numFmt formatCode="0.0%" sourceLinked="1"/>
        <c:majorTickMark val="out"/>
        <c:minorTickMark val="none"/>
        <c:tickLblPos val="nextTo"/>
        <c:crossAx val="7771238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en-GB" sz="1400"/>
              <a:t>Gender</a:t>
            </a:r>
            <a:r>
              <a:rPr lang="en-GB" sz="1400" baseline="0"/>
              <a:t> by Service Area</a:t>
            </a:r>
            <a:endParaRPr lang="en-GB" sz="1400"/>
          </a:p>
        </c:rich>
      </c:tx>
      <c:overlay val="0"/>
    </c:title>
    <c:autoTitleDeleted val="0"/>
    <c:plotArea>
      <c:layout/>
      <c:barChart>
        <c:barDir val="col"/>
        <c:grouping val="clustered"/>
        <c:varyColors val="0"/>
        <c:ser>
          <c:idx val="0"/>
          <c:order val="0"/>
          <c:tx>
            <c:strRef>
              <c:f>'E&amp;N'!$B$169</c:f>
              <c:strCache>
                <c:ptCount val="1"/>
                <c:pt idx="0">
                  <c:v>Female</c:v>
                </c:pt>
              </c:strCache>
            </c:strRef>
          </c:tx>
          <c:invertIfNegative val="0"/>
          <c:cat>
            <c:strRef>
              <c:f>'E&amp;N'!$A$171:$A$174</c:f>
              <c:strCache>
                <c:ptCount val="4"/>
                <c:pt idx="0">
                  <c:v>Facilities Management</c:v>
                </c:pt>
                <c:pt idx="1">
                  <c:v>Fleet &amp; Waste Services</c:v>
                </c:pt>
                <c:pt idx="2">
                  <c:v>Greenspace</c:v>
                </c:pt>
                <c:pt idx="3">
                  <c:v>Roads &amp; Transportation</c:v>
                </c:pt>
              </c:strCache>
            </c:strRef>
          </c:cat>
          <c:val>
            <c:numRef>
              <c:f>'E&amp;N'!$B$171:$B$174</c:f>
              <c:numCache>
                <c:formatCode>General</c:formatCode>
                <c:ptCount val="4"/>
                <c:pt idx="0">
                  <c:v>452</c:v>
                </c:pt>
                <c:pt idx="1">
                  <c:v>3</c:v>
                </c:pt>
                <c:pt idx="2">
                  <c:v>10</c:v>
                </c:pt>
                <c:pt idx="3">
                  <c:v>29</c:v>
                </c:pt>
              </c:numCache>
            </c:numRef>
          </c:val>
        </c:ser>
        <c:ser>
          <c:idx val="1"/>
          <c:order val="1"/>
          <c:tx>
            <c:strRef>
              <c:f>'E&amp;N'!$D$169</c:f>
              <c:strCache>
                <c:ptCount val="1"/>
                <c:pt idx="0">
                  <c:v>Male</c:v>
                </c:pt>
              </c:strCache>
            </c:strRef>
          </c:tx>
          <c:invertIfNegative val="0"/>
          <c:cat>
            <c:strRef>
              <c:f>'E&amp;N'!$A$171:$A$174</c:f>
              <c:strCache>
                <c:ptCount val="4"/>
                <c:pt idx="0">
                  <c:v>Facilities Management</c:v>
                </c:pt>
                <c:pt idx="1">
                  <c:v>Fleet &amp; Waste Services</c:v>
                </c:pt>
                <c:pt idx="2">
                  <c:v>Greenspace</c:v>
                </c:pt>
                <c:pt idx="3">
                  <c:v>Roads &amp; Transportation</c:v>
                </c:pt>
              </c:strCache>
            </c:strRef>
          </c:cat>
          <c:val>
            <c:numRef>
              <c:f>'E&amp;N'!$D$171:$D$174</c:f>
              <c:numCache>
                <c:formatCode>General</c:formatCode>
                <c:ptCount val="4"/>
                <c:pt idx="0">
                  <c:v>72</c:v>
                </c:pt>
                <c:pt idx="1">
                  <c:v>110</c:v>
                </c:pt>
                <c:pt idx="2">
                  <c:v>201</c:v>
                </c:pt>
                <c:pt idx="3">
                  <c:v>66</c:v>
                </c:pt>
              </c:numCache>
            </c:numRef>
          </c:val>
        </c:ser>
        <c:dLbls>
          <c:showLegendKey val="0"/>
          <c:showVal val="0"/>
          <c:showCatName val="0"/>
          <c:showSerName val="0"/>
          <c:showPercent val="0"/>
          <c:showBubbleSize val="0"/>
        </c:dLbls>
        <c:gapWidth val="150"/>
        <c:axId val="53445760"/>
        <c:axId val="53447296"/>
      </c:barChart>
      <c:catAx>
        <c:axId val="53445760"/>
        <c:scaling>
          <c:orientation val="minMax"/>
        </c:scaling>
        <c:delete val="0"/>
        <c:axPos val="b"/>
        <c:numFmt formatCode="General" sourceLinked="1"/>
        <c:majorTickMark val="out"/>
        <c:minorTickMark val="none"/>
        <c:tickLblPos val="nextTo"/>
        <c:crossAx val="53447296"/>
        <c:crosses val="autoZero"/>
        <c:auto val="1"/>
        <c:lblAlgn val="ctr"/>
        <c:lblOffset val="100"/>
        <c:noMultiLvlLbl val="0"/>
      </c:catAx>
      <c:valAx>
        <c:axId val="53447296"/>
        <c:scaling>
          <c:orientation val="minMax"/>
        </c:scaling>
        <c:delete val="0"/>
        <c:axPos val="l"/>
        <c:majorGridlines/>
        <c:numFmt formatCode="General" sourceLinked="1"/>
        <c:majorTickMark val="out"/>
        <c:minorTickMark val="none"/>
        <c:tickLblPos val="nextTo"/>
        <c:crossAx val="5344576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547024953491936E-2"/>
          <c:y val="5.1400554097404488E-2"/>
          <c:w val="0.64065297609275673"/>
          <c:h val="0.8326195683872849"/>
        </c:manualLayout>
      </c:layout>
      <c:barChart>
        <c:barDir val="col"/>
        <c:grouping val="clustered"/>
        <c:varyColors val="0"/>
        <c:ser>
          <c:idx val="0"/>
          <c:order val="0"/>
          <c:tx>
            <c:strRef>
              <c:f>'E&amp;N'!$A$205</c:f>
              <c:strCache>
                <c:ptCount val="1"/>
                <c:pt idx="0">
                  <c:v>Facilities Management</c:v>
                </c:pt>
              </c:strCache>
            </c:strRef>
          </c:tx>
          <c:invertIfNegative val="0"/>
          <c:cat>
            <c:strRef>
              <c:f>'E&amp;N'!$B$204:$L$204</c:f>
              <c:strCache>
                <c:ptCount val="11"/>
                <c:pt idx="0">
                  <c:v>16-19</c:v>
                </c:pt>
                <c:pt idx="1">
                  <c:v>20-24</c:v>
                </c:pt>
                <c:pt idx="2">
                  <c:v>25-29</c:v>
                </c:pt>
                <c:pt idx="3">
                  <c:v>30-34</c:v>
                </c:pt>
                <c:pt idx="4">
                  <c:v>35-39</c:v>
                </c:pt>
                <c:pt idx="5">
                  <c:v>40-44</c:v>
                </c:pt>
                <c:pt idx="6">
                  <c:v>45-49</c:v>
                </c:pt>
                <c:pt idx="7">
                  <c:v>50-54</c:v>
                </c:pt>
                <c:pt idx="8">
                  <c:v>55-59</c:v>
                </c:pt>
                <c:pt idx="9">
                  <c:v>60-64</c:v>
                </c:pt>
                <c:pt idx="10">
                  <c:v>65+</c:v>
                </c:pt>
              </c:strCache>
            </c:strRef>
          </c:cat>
          <c:val>
            <c:numRef>
              <c:f>'E&amp;N'!$B$205:$L$205</c:f>
              <c:numCache>
                <c:formatCode>General</c:formatCode>
                <c:ptCount val="11"/>
                <c:pt idx="0">
                  <c:v>0</c:v>
                </c:pt>
                <c:pt idx="1">
                  <c:v>9</c:v>
                </c:pt>
                <c:pt idx="2">
                  <c:v>23</c:v>
                </c:pt>
                <c:pt idx="3">
                  <c:v>19</c:v>
                </c:pt>
                <c:pt idx="4">
                  <c:v>39</c:v>
                </c:pt>
                <c:pt idx="5">
                  <c:v>37</c:v>
                </c:pt>
                <c:pt idx="6">
                  <c:v>72</c:v>
                </c:pt>
                <c:pt idx="7">
                  <c:v>100</c:v>
                </c:pt>
                <c:pt idx="8">
                  <c:v>118</c:v>
                </c:pt>
                <c:pt idx="9">
                  <c:v>79</c:v>
                </c:pt>
                <c:pt idx="10">
                  <c:v>28</c:v>
                </c:pt>
              </c:numCache>
            </c:numRef>
          </c:val>
        </c:ser>
        <c:ser>
          <c:idx val="1"/>
          <c:order val="1"/>
          <c:tx>
            <c:strRef>
              <c:f>'E&amp;N'!$A$206</c:f>
              <c:strCache>
                <c:ptCount val="1"/>
                <c:pt idx="0">
                  <c:v>Fleet &amp; Waste Services</c:v>
                </c:pt>
              </c:strCache>
            </c:strRef>
          </c:tx>
          <c:invertIfNegative val="0"/>
          <c:cat>
            <c:strRef>
              <c:f>'E&amp;N'!$B$204:$L$204</c:f>
              <c:strCache>
                <c:ptCount val="11"/>
                <c:pt idx="0">
                  <c:v>16-19</c:v>
                </c:pt>
                <c:pt idx="1">
                  <c:v>20-24</c:v>
                </c:pt>
                <c:pt idx="2">
                  <c:v>25-29</c:v>
                </c:pt>
                <c:pt idx="3">
                  <c:v>30-34</c:v>
                </c:pt>
                <c:pt idx="4">
                  <c:v>35-39</c:v>
                </c:pt>
                <c:pt idx="5">
                  <c:v>40-44</c:v>
                </c:pt>
                <c:pt idx="6">
                  <c:v>45-49</c:v>
                </c:pt>
                <c:pt idx="7">
                  <c:v>50-54</c:v>
                </c:pt>
                <c:pt idx="8">
                  <c:v>55-59</c:v>
                </c:pt>
                <c:pt idx="9">
                  <c:v>60-64</c:v>
                </c:pt>
                <c:pt idx="10">
                  <c:v>65+</c:v>
                </c:pt>
              </c:strCache>
            </c:strRef>
          </c:cat>
          <c:val>
            <c:numRef>
              <c:f>'E&amp;N'!$B$206:$L$206</c:f>
              <c:numCache>
                <c:formatCode>General</c:formatCode>
                <c:ptCount val="11"/>
                <c:pt idx="0">
                  <c:v>0</c:v>
                </c:pt>
                <c:pt idx="1">
                  <c:v>0</c:v>
                </c:pt>
                <c:pt idx="2">
                  <c:v>2</c:v>
                </c:pt>
                <c:pt idx="3">
                  <c:v>2</c:v>
                </c:pt>
                <c:pt idx="4">
                  <c:v>7</c:v>
                </c:pt>
                <c:pt idx="5">
                  <c:v>10</c:v>
                </c:pt>
                <c:pt idx="6">
                  <c:v>18</c:v>
                </c:pt>
                <c:pt idx="7">
                  <c:v>17</c:v>
                </c:pt>
                <c:pt idx="8">
                  <c:v>36</c:v>
                </c:pt>
                <c:pt idx="9">
                  <c:v>16</c:v>
                </c:pt>
                <c:pt idx="10">
                  <c:v>5</c:v>
                </c:pt>
              </c:numCache>
            </c:numRef>
          </c:val>
        </c:ser>
        <c:ser>
          <c:idx val="2"/>
          <c:order val="2"/>
          <c:tx>
            <c:strRef>
              <c:f>'E&amp;N'!$A$207</c:f>
              <c:strCache>
                <c:ptCount val="1"/>
                <c:pt idx="0">
                  <c:v>Greenspace</c:v>
                </c:pt>
              </c:strCache>
            </c:strRef>
          </c:tx>
          <c:invertIfNegative val="0"/>
          <c:cat>
            <c:strRef>
              <c:f>'E&amp;N'!$B$204:$L$204</c:f>
              <c:strCache>
                <c:ptCount val="11"/>
                <c:pt idx="0">
                  <c:v>16-19</c:v>
                </c:pt>
                <c:pt idx="1">
                  <c:v>20-24</c:v>
                </c:pt>
                <c:pt idx="2">
                  <c:v>25-29</c:v>
                </c:pt>
                <c:pt idx="3">
                  <c:v>30-34</c:v>
                </c:pt>
                <c:pt idx="4">
                  <c:v>35-39</c:v>
                </c:pt>
                <c:pt idx="5">
                  <c:v>40-44</c:v>
                </c:pt>
                <c:pt idx="6">
                  <c:v>45-49</c:v>
                </c:pt>
                <c:pt idx="7">
                  <c:v>50-54</c:v>
                </c:pt>
                <c:pt idx="8">
                  <c:v>55-59</c:v>
                </c:pt>
                <c:pt idx="9">
                  <c:v>60-64</c:v>
                </c:pt>
                <c:pt idx="10">
                  <c:v>65+</c:v>
                </c:pt>
              </c:strCache>
            </c:strRef>
          </c:cat>
          <c:val>
            <c:numRef>
              <c:f>'E&amp;N'!$B$207:$L$207</c:f>
              <c:numCache>
                <c:formatCode>General</c:formatCode>
                <c:ptCount val="11"/>
                <c:pt idx="0">
                  <c:v>14</c:v>
                </c:pt>
                <c:pt idx="1">
                  <c:v>18</c:v>
                </c:pt>
                <c:pt idx="2">
                  <c:v>10</c:v>
                </c:pt>
                <c:pt idx="3">
                  <c:v>16</c:v>
                </c:pt>
                <c:pt idx="4">
                  <c:v>23</c:v>
                </c:pt>
                <c:pt idx="5">
                  <c:v>14</c:v>
                </c:pt>
                <c:pt idx="6">
                  <c:v>24</c:v>
                </c:pt>
                <c:pt idx="7">
                  <c:v>31</c:v>
                </c:pt>
                <c:pt idx="8">
                  <c:v>36</c:v>
                </c:pt>
                <c:pt idx="9">
                  <c:v>16</c:v>
                </c:pt>
                <c:pt idx="10">
                  <c:v>9</c:v>
                </c:pt>
              </c:numCache>
            </c:numRef>
          </c:val>
        </c:ser>
        <c:ser>
          <c:idx val="3"/>
          <c:order val="3"/>
          <c:tx>
            <c:strRef>
              <c:f>'E&amp;N'!$A$208</c:f>
              <c:strCache>
                <c:ptCount val="1"/>
                <c:pt idx="0">
                  <c:v>Roads &amp; Transportation</c:v>
                </c:pt>
              </c:strCache>
            </c:strRef>
          </c:tx>
          <c:invertIfNegative val="0"/>
          <c:cat>
            <c:strRef>
              <c:f>'E&amp;N'!$B$204:$L$204</c:f>
              <c:strCache>
                <c:ptCount val="11"/>
                <c:pt idx="0">
                  <c:v>16-19</c:v>
                </c:pt>
                <c:pt idx="1">
                  <c:v>20-24</c:v>
                </c:pt>
                <c:pt idx="2">
                  <c:v>25-29</c:v>
                </c:pt>
                <c:pt idx="3">
                  <c:v>30-34</c:v>
                </c:pt>
                <c:pt idx="4">
                  <c:v>35-39</c:v>
                </c:pt>
                <c:pt idx="5">
                  <c:v>40-44</c:v>
                </c:pt>
                <c:pt idx="6">
                  <c:v>45-49</c:v>
                </c:pt>
                <c:pt idx="7">
                  <c:v>50-54</c:v>
                </c:pt>
                <c:pt idx="8">
                  <c:v>55-59</c:v>
                </c:pt>
                <c:pt idx="9">
                  <c:v>60-64</c:v>
                </c:pt>
                <c:pt idx="10">
                  <c:v>65+</c:v>
                </c:pt>
              </c:strCache>
            </c:strRef>
          </c:cat>
          <c:val>
            <c:numRef>
              <c:f>'E&amp;N'!$B$208:$L$208</c:f>
              <c:numCache>
                <c:formatCode>General</c:formatCode>
                <c:ptCount val="11"/>
                <c:pt idx="0">
                  <c:v>1</c:v>
                </c:pt>
                <c:pt idx="1">
                  <c:v>0</c:v>
                </c:pt>
                <c:pt idx="2">
                  <c:v>3</c:v>
                </c:pt>
                <c:pt idx="3">
                  <c:v>2</c:v>
                </c:pt>
                <c:pt idx="4">
                  <c:v>7</c:v>
                </c:pt>
                <c:pt idx="5">
                  <c:v>4</c:v>
                </c:pt>
                <c:pt idx="6">
                  <c:v>12</c:v>
                </c:pt>
                <c:pt idx="7">
                  <c:v>19</c:v>
                </c:pt>
                <c:pt idx="8">
                  <c:v>19</c:v>
                </c:pt>
                <c:pt idx="9">
                  <c:v>10</c:v>
                </c:pt>
                <c:pt idx="10">
                  <c:v>18</c:v>
                </c:pt>
              </c:numCache>
            </c:numRef>
          </c:val>
        </c:ser>
        <c:dLbls>
          <c:showLegendKey val="0"/>
          <c:showVal val="0"/>
          <c:showCatName val="0"/>
          <c:showSerName val="0"/>
          <c:showPercent val="0"/>
          <c:showBubbleSize val="0"/>
        </c:dLbls>
        <c:gapWidth val="150"/>
        <c:axId val="77829248"/>
        <c:axId val="77830784"/>
      </c:barChart>
      <c:catAx>
        <c:axId val="77829248"/>
        <c:scaling>
          <c:orientation val="minMax"/>
        </c:scaling>
        <c:delete val="0"/>
        <c:axPos val="b"/>
        <c:majorTickMark val="out"/>
        <c:minorTickMark val="none"/>
        <c:tickLblPos val="nextTo"/>
        <c:crossAx val="77830784"/>
        <c:crosses val="autoZero"/>
        <c:auto val="1"/>
        <c:lblAlgn val="ctr"/>
        <c:lblOffset val="100"/>
        <c:noMultiLvlLbl val="0"/>
      </c:catAx>
      <c:valAx>
        <c:axId val="77830784"/>
        <c:scaling>
          <c:orientation val="minMax"/>
        </c:scaling>
        <c:delete val="0"/>
        <c:axPos val="l"/>
        <c:majorGridlines/>
        <c:numFmt formatCode="General" sourceLinked="1"/>
        <c:majorTickMark val="out"/>
        <c:minorTickMark val="none"/>
        <c:tickLblPos val="nextTo"/>
        <c:crossAx val="77829248"/>
        <c:crosses val="autoZero"/>
        <c:crossBetween val="between"/>
      </c:valAx>
    </c:plotArea>
    <c:legend>
      <c:legendPos val="r"/>
      <c:layout>
        <c:manualLayout>
          <c:xMode val="edge"/>
          <c:yMode val="edge"/>
          <c:x val="0.73246437254083485"/>
          <c:y val="0.15085848643919511"/>
          <c:w val="0.18944233368201208"/>
          <c:h val="0.32737956502494336"/>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0.51091</cdr:x>
      <cdr:y>0.10306</cdr:y>
    </cdr:from>
    <cdr:to>
      <cdr:x>0.68545</cdr:x>
      <cdr:y>0.19002</cdr:y>
    </cdr:to>
    <cdr:sp macro="" textlink="">
      <cdr:nvSpPr>
        <cdr:cNvPr id="2" name="TextBox 1"/>
        <cdr:cNvSpPr txBox="1"/>
      </cdr:nvSpPr>
      <cdr:spPr>
        <a:xfrm xmlns:a="http://schemas.openxmlformats.org/drawingml/2006/main">
          <a:off x="2676525" y="304800"/>
          <a:ext cx="91440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0.32727</cdr:x>
      <cdr:y>0.09018</cdr:y>
    </cdr:from>
    <cdr:to>
      <cdr:x>0.50182</cdr:x>
      <cdr:y>0.1868</cdr:y>
    </cdr:to>
    <cdr:sp macro="" textlink="">
      <cdr:nvSpPr>
        <cdr:cNvPr id="3" name="TextBox 2"/>
        <cdr:cNvSpPr txBox="1"/>
      </cdr:nvSpPr>
      <cdr:spPr>
        <a:xfrm xmlns:a="http://schemas.openxmlformats.org/drawingml/2006/main">
          <a:off x="1714500" y="266700"/>
          <a:ext cx="9144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0.27273</cdr:x>
      <cdr:y>0.06119</cdr:y>
    </cdr:from>
    <cdr:to>
      <cdr:x>0.60545</cdr:x>
      <cdr:y>0.19968</cdr:y>
    </cdr:to>
    <cdr:sp macro="" textlink="">
      <cdr:nvSpPr>
        <cdr:cNvPr id="4" name="TextBox 3"/>
        <cdr:cNvSpPr txBox="1"/>
      </cdr:nvSpPr>
      <cdr:spPr>
        <a:xfrm xmlns:a="http://schemas.openxmlformats.org/drawingml/2006/main">
          <a:off x="1428750" y="180975"/>
          <a:ext cx="1743075"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0.40582</cdr:x>
      <cdr:y>0.11594</cdr:y>
    </cdr:from>
    <cdr:to>
      <cdr:x>0.41455</cdr:x>
      <cdr:y>0.1314</cdr:y>
    </cdr:to>
    <cdr:sp macro="" textlink="">
      <cdr:nvSpPr>
        <cdr:cNvPr id="5" name="TextBox 4"/>
        <cdr:cNvSpPr txBox="1"/>
      </cdr:nvSpPr>
      <cdr:spPr>
        <a:xfrm xmlns:a="http://schemas.openxmlformats.org/drawingml/2006/main">
          <a:off x="2125981" y="342900"/>
          <a:ext cx="45719"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0.17818</cdr:x>
      <cdr:y>0.06119</cdr:y>
    </cdr:from>
    <cdr:to>
      <cdr:x>0.46727</cdr:x>
      <cdr:y>0.43478</cdr:y>
    </cdr:to>
    <cdr:sp macro="" textlink="">
      <cdr:nvSpPr>
        <cdr:cNvPr id="6" name="TextBox 5"/>
        <cdr:cNvSpPr txBox="1"/>
      </cdr:nvSpPr>
      <cdr:spPr>
        <a:xfrm xmlns:a="http://schemas.openxmlformats.org/drawingml/2006/main">
          <a:off x="933450" y="180975"/>
          <a:ext cx="1514475" cy="1104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200" b="1">
              <a:latin typeface="Arial" pitchFamily="34" charset="0"/>
              <a:cs typeface="Arial" pitchFamily="34" charset="0"/>
            </a:rPr>
            <a:t>Trend Analysis April</a:t>
          </a:r>
          <a:r>
            <a:rPr lang="en-GB" sz="1200" b="1" baseline="0">
              <a:latin typeface="Arial" pitchFamily="34" charset="0"/>
              <a:cs typeface="Arial" pitchFamily="34" charset="0"/>
            </a:rPr>
            <a:t> 2015 - March 2017</a:t>
          </a:r>
          <a:endParaRPr lang="en-GB" sz="12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3692-D915-4699-AAA9-E78BBC47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7069</Words>
  <Characters>39863</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46839</CharactersWithSpaces>
  <SharedDoc>false</SharedDoc>
  <HLinks>
    <vt:vector size="54" baseType="variant">
      <vt:variant>
        <vt:i4>3670066</vt:i4>
      </vt:variant>
      <vt:variant>
        <vt:i4>50</vt:i4>
      </vt:variant>
      <vt:variant>
        <vt:i4>0</vt:i4>
      </vt:variant>
      <vt:variant>
        <vt:i4>5</vt:i4>
      </vt:variant>
      <vt:variant>
        <vt:lpwstr>\\wdcfs4\housing strategy\2016 Strategy and Improvement\Service Planning\Strategic Lead Action Plans\Environment &amp; Neighbourhood (DRAFT).doc</vt:lpwstr>
      </vt:variant>
      <vt:variant>
        <vt:lpwstr>_Toc441150645</vt:lpwstr>
      </vt:variant>
      <vt:variant>
        <vt:i4>1441846</vt:i4>
      </vt:variant>
      <vt:variant>
        <vt:i4>44</vt:i4>
      </vt:variant>
      <vt:variant>
        <vt:i4>0</vt:i4>
      </vt:variant>
      <vt:variant>
        <vt:i4>5</vt:i4>
      </vt:variant>
      <vt:variant>
        <vt:lpwstr/>
      </vt:variant>
      <vt:variant>
        <vt:lpwstr>_Toc441150644</vt:lpwstr>
      </vt:variant>
      <vt:variant>
        <vt:i4>1441846</vt:i4>
      </vt:variant>
      <vt:variant>
        <vt:i4>38</vt:i4>
      </vt:variant>
      <vt:variant>
        <vt:i4>0</vt:i4>
      </vt:variant>
      <vt:variant>
        <vt:i4>5</vt:i4>
      </vt:variant>
      <vt:variant>
        <vt:lpwstr/>
      </vt:variant>
      <vt:variant>
        <vt:lpwstr>_Toc441150643</vt:lpwstr>
      </vt:variant>
      <vt:variant>
        <vt:i4>1441846</vt:i4>
      </vt:variant>
      <vt:variant>
        <vt:i4>32</vt:i4>
      </vt:variant>
      <vt:variant>
        <vt:i4>0</vt:i4>
      </vt:variant>
      <vt:variant>
        <vt:i4>5</vt:i4>
      </vt:variant>
      <vt:variant>
        <vt:lpwstr/>
      </vt:variant>
      <vt:variant>
        <vt:lpwstr>_Toc441150642</vt:lpwstr>
      </vt:variant>
      <vt:variant>
        <vt:i4>1441846</vt:i4>
      </vt:variant>
      <vt:variant>
        <vt:i4>26</vt:i4>
      </vt:variant>
      <vt:variant>
        <vt:i4>0</vt:i4>
      </vt:variant>
      <vt:variant>
        <vt:i4>5</vt:i4>
      </vt:variant>
      <vt:variant>
        <vt:lpwstr/>
      </vt:variant>
      <vt:variant>
        <vt:lpwstr>_Toc441150641</vt:lpwstr>
      </vt:variant>
      <vt:variant>
        <vt:i4>1441846</vt:i4>
      </vt:variant>
      <vt:variant>
        <vt:i4>20</vt:i4>
      </vt:variant>
      <vt:variant>
        <vt:i4>0</vt:i4>
      </vt:variant>
      <vt:variant>
        <vt:i4>5</vt:i4>
      </vt:variant>
      <vt:variant>
        <vt:lpwstr/>
      </vt:variant>
      <vt:variant>
        <vt:lpwstr>_Toc441150640</vt:lpwstr>
      </vt:variant>
      <vt:variant>
        <vt:i4>1114166</vt:i4>
      </vt:variant>
      <vt:variant>
        <vt:i4>14</vt:i4>
      </vt:variant>
      <vt:variant>
        <vt:i4>0</vt:i4>
      </vt:variant>
      <vt:variant>
        <vt:i4>5</vt:i4>
      </vt:variant>
      <vt:variant>
        <vt:lpwstr/>
      </vt:variant>
      <vt:variant>
        <vt:lpwstr>_Toc441150639</vt:lpwstr>
      </vt:variant>
      <vt:variant>
        <vt:i4>1114166</vt:i4>
      </vt:variant>
      <vt:variant>
        <vt:i4>8</vt:i4>
      </vt:variant>
      <vt:variant>
        <vt:i4>0</vt:i4>
      </vt:variant>
      <vt:variant>
        <vt:i4>5</vt:i4>
      </vt:variant>
      <vt:variant>
        <vt:lpwstr/>
      </vt:variant>
      <vt:variant>
        <vt:lpwstr>_Toc441150638</vt:lpwstr>
      </vt:variant>
      <vt:variant>
        <vt:i4>1114166</vt:i4>
      </vt:variant>
      <vt:variant>
        <vt:i4>2</vt:i4>
      </vt:variant>
      <vt:variant>
        <vt:i4>0</vt:i4>
      </vt:variant>
      <vt:variant>
        <vt:i4>5</vt:i4>
      </vt:variant>
      <vt:variant>
        <vt:lpwstr/>
      </vt:variant>
      <vt:variant>
        <vt:lpwstr>_Toc441150637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Henderson</dc:creator>
  <cp:lastModifiedBy>Karen Prior</cp:lastModifiedBy>
  <cp:revision>2</cp:revision>
  <cp:lastPrinted>2017-05-30T09:57:00Z</cp:lastPrinted>
  <dcterms:created xsi:type="dcterms:W3CDTF">2017-06-22T09:00:00Z</dcterms:created>
  <dcterms:modified xsi:type="dcterms:W3CDTF">2017-06-22T09:00:00Z</dcterms:modified>
</cp:coreProperties>
</file>